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19A" w:rsidRDefault="00E0419A" w:rsidP="00E0419A">
      <w:pPr>
        <w:pStyle w:val="RefGrundtext"/>
        <w:rPr>
          <w:b/>
        </w:rPr>
      </w:pPr>
      <w:bookmarkStart w:id="0" w:name="_GoBack"/>
      <w:bookmarkEnd w:id="0"/>
      <w:r>
        <w:rPr>
          <w:b/>
        </w:rPr>
        <w:t>Procédure de consultation</w:t>
      </w:r>
    </w:p>
    <w:p w:rsidR="00E0419A" w:rsidRPr="00F12D17" w:rsidRDefault="00E0419A" w:rsidP="00E0419A">
      <w:pPr>
        <w:pStyle w:val="RefGrundtext"/>
        <w:rPr>
          <w:b/>
        </w:rPr>
      </w:pPr>
    </w:p>
    <w:p w:rsidR="00E0419A" w:rsidRDefault="00E0419A" w:rsidP="00E0419A">
      <w:pPr>
        <w:pStyle w:val="RefGrundtext"/>
        <w:numPr>
          <w:ilvl w:val="0"/>
          <w:numId w:val="20"/>
        </w:numPr>
        <w:tabs>
          <w:tab w:val="clear" w:pos="227"/>
          <w:tab w:val="left" w:pos="426"/>
        </w:tabs>
        <w:ind w:left="426"/>
        <w:rPr>
          <w:b/>
        </w:rPr>
      </w:pPr>
      <w:r>
        <w:rPr>
          <w:b/>
        </w:rPr>
        <w:t>Règlement sur la péréquation financière entre les paroisses réformées évangéliques du canton de Berne(</w:t>
      </w:r>
      <w:r w:rsidR="00C35A22">
        <w:rPr>
          <w:b/>
        </w:rPr>
        <w:t xml:space="preserve"> </w:t>
      </w:r>
      <w:r>
        <w:rPr>
          <w:b/>
        </w:rPr>
        <w:t xml:space="preserve">RLE 61.210). </w:t>
      </w:r>
    </w:p>
    <w:p w:rsidR="00E0419A" w:rsidRDefault="00E0419A" w:rsidP="00E0419A">
      <w:pPr>
        <w:pStyle w:val="RefGrundtext"/>
        <w:numPr>
          <w:ilvl w:val="0"/>
          <w:numId w:val="20"/>
        </w:numPr>
        <w:tabs>
          <w:tab w:val="clear" w:pos="227"/>
          <w:tab w:val="left" w:pos="426"/>
        </w:tabs>
        <w:ind w:left="426"/>
        <w:rPr>
          <w:b/>
        </w:rPr>
      </w:pPr>
      <w:r>
        <w:rPr>
          <w:b/>
        </w:rPr>
        <w:t>Arrêté concernant les contributions des paroisses bernoises à l’Union synodale</w:t>
      </w:r>
    </w:p>
    <w:p w:rsidR="00E0419A" w:rsidRDefault="00E0419A" w:rsidP="00E0419A">
      <w:pPr>
        <w:pStyle w:val="RefGrundtext"/>
        <w:rPr>
          <w:b/>
        </w:rPr>
      </w:pPr>
    </w:p>
    <w:p w:rsidR="00E0419A" w:rsidRPr="007D46A3" w:rsidRDefault="00E0419A" w:rsidP="00E0419A">
      <w:pPr>
        <w:pStyle w:val="RefGrundtext"/>
      </w:pPr>
      <w:r>
        <w:t xml:space="preserve">concernant </w:t>
      </w:r>
      <w:r w:rsidR="0008609F">
        <w:t>la</w:t>
      </w:r>
    </w:p>
    <w:p w:rsidR="00E0419A" w:rsidRDefault="00E0419A" w:rsidP="00E0419A">
      <w:pPr>
        <w:pStyle w:val="RefGrundtext"/>
        <w:rPr>
          <w:b/>
        </w:rPr>
      </w:pPr>
    </w:p>
    <w:p w:rsidR="00E0419A" w:rsidRDefault="00E0419A" w:rsidP="00E0419A">
      <w:pPr>
        <w:pStyle w:val="RefGrundtext"/>
        <w:rPr>
          <w:b/>
        </w:rPr>
      </w:pPr>
      <w:r>
        <w:rPr>
          <w:b/>
        </w:rPr>
        <w:t>modification de l’année de référence pour la détermination des contributions paroissiales au titre de la péréquation financière et pour l’Union synodale</w:t>
      </w:r>
    </w:p>
    <w:p w:rsidR="00E0419A" w:rsidRDefault="00E0419A" w:rsidP="00E0419A">
      <w:pPr>
        <w:pStyle w:val="RefGrundtext"/>
      </w:pPr>
    </w:p>
    <w:p w:rsidR="00A52AA9" w:rsidRDefault="00A52AA9" w:rsidP="00E0419A">
      <w:pPr>
        <w:pStyle w:val="RefGrundtext"/>
      </w:pPr>
    </w:p>
    <w:p w:rsidR="00A52AA9" w:rsidRDefault="00A52AA9" w:rsidP="00E0419A">
      <w:pPr>
        <w:pStyle w:val="RefGrundtext"/>
      </w:pPr>
    </w:p>
    <w:p w:rsidR="00A52AA9" w:rsidRDefault="00A52AA9" w:rsidP="00E0419A">
      <w:pPr>
        <w:pStyle w:val="RefGrundtext"/>
      </w:pPr>
    </w:p>
    <w:p w:rsidR="00E0419A" w:rsidRPr="00182A2F" w:rsidRDefault="00182A2F" w:rsidP="00E62E7C">
      <w:pPr>
        <w:rPr>
          <w:b/>
          <w:u w:val="single"/>
        </w:rPr>
      </w:pPr>
      <w:r>
        <w:rPr>
          <w:b/>
          <w:u w:val="single"/>
        </w:rPr>
        <w:t>Explications</w:t>
      </w:r>
    </w:p>
    <w:p w:rsidR="00182A2F" w:rsidRDefault="00182A2F" w:rsidP="00E62E7C"/>
    <w:sdt>
      <w:sdtPr>
        <w:rPr>
          <w:rFonts w:eastAsiaTheme="minorHAnsi" w:cstheme="minorBidi"/>
          <w:b w:val="0"/>
          <w:lang w:eastAsia="en-US"/>
        </w:rPr>
        <w:id w:val="1422057000"/>
        <w:docPartObj>
          <w:docPartGallery w:val="Table of Contents"/>
          <w:docPartUnique/>
        </w:docPartObj>
      </w:sdtPr>
      <w:sdtEndPr>
        <w:rPr>
          <w:bCs/>
        </w:rPr>
      </w:sdtEndPr>
      <w:sdtContent>
        <w:p w:rsidR="009F33BF" w:rsidRDefault="009F33BF" w:rsidP="009F33BF">
          <w:pPr>
            <w:pStyle w:val="Inhaltsverzeichnisberschrift"/>
          </w:pPr>
          <w:r>
            <w:t>Sommaire</w:t>
          </w:r>
        </w:p>
        <w:p w:rsidR="000A13EB" w:rsidRDefault="009F33BF">
          <w:pPr>
            <w:pStyle w:val="Verzeichnis2"/>
            <w:tabs>
              <w:tab w:val="left" w:pos="660"/>
              <w:tab w:val="right" w:leader="dot" w:pos="9117"/>
            </w:tabs>
            <w:rPr>
              <w:rFonts w:asciiTheme="minorHAnsi" w:eastAsiaTheme="minorEastAsia" w:hAnsiTheme="minorHAnsi"/>
              <w:noProof/>
              <w:sz w:val="22"/>
              <w:szCs w:val="22"/>
              <w:lang w:eastAsia="fr-CH"/>
            </w:rPr>
          </w:pPr>
          <w:r>
            <w:fldChar w:fldCharType="begin"/>
          </w:r>
          <w:r>
            <w:instrText xml:space="preserve"> TOC \o "1-3" \h \z \u </w:instrText>
          </w:r>
          <w:r>
            <w:fldChar w:fldCharType="separate"/>
          </w:r>
          <w:hyperlink w:anchor="_Toc63079664" w:history="1">
            <w:r w:rsidR="000A13EB" w:rsidRPr="00467F03">
              <w:rPr>
                <w:rStyle w:val="Hyperlink"/>
                <w:noProof/>
                <w14:scene3d>
                  <w14:camera w14:prst="orthographicFront"/>
                  <w14:lightRig w14:rig="threePt" w14:dir="t">
                    <w14:rot w14:lat="0" w14:lon="0" w14:rev="0"/>
                  </w14:lightRig>
                </w14:scene3d>
              </w:rPr>
              <w:t>1.</w:t>
            </w:r>
            <w:r w:rsidR="000A13EB">
              <w:rPr>
                <w:rFonts w:asciiTheme="minorHAnsi" w:eastAsiaTheme="minorEastAsia" w:hAnsiTheme="minorHAnsi"/>
                <w:noProof/>
                <w:sz w:val="22"/>
                <w:szCs w:val="22"/>
                <w:lang w:eastAsia="fr-CH"/>
              </w:rPr>
              <w:tab/>
            </w:r>
            <w:r w:rsidR="000A13EB" w:rsidRPr="00467F03">
              <w:rPr>
                <w:rStyle w:val="Hyperlink"/>
                <w:noProof/>
              </w:rPr>
              <w:t>Contexte</w:t>
            </w:r>
            <w:r w:rsidR="000A13EB">
              <w:rPr>
                <w:noProof/>
                <w:webHidden/>
              </w:rPr>
              <w:tab/>
            </w:r>
            <w:r w:rsidR="000A13EB">
              <w:rPr>
                <w:noProof/>
                <w:webHidden/>
              </w:rPr>
              <w:fldChar w:fldCharType="begin"/>
            </w:r>
            <w:r w:rsidR="000A13EB">
              <w:rPr>
                <w:noProof/>
                <w:webHidden/>
              </w:rPr>
              <w:instrText xml:space="preserve"> PAGEREF _Toc63079664 \h </w:instrText>
            </w:r>
            <w:r w:rsidR="000A13EB">
              <w:rPr>
                <w:noProof/>
                <w:webHidden/>
              </w:rPr>
            </w:r>
            <w:r w:rsidR="000A13EB">
              <w:rPr>
                <w:noProof/>
                <w:webHidden/>
              </w:rPr>
              <w:fldChar w:fldCharType="separate"/>
            </w:r>
            <w:r w:rsidR="000A13EB">
              <w:rPr>
                <w:noProof/>
                <w:webHidden/>
              </w:rPr>
              <w:t>2</w:t>
            </w:r>
            <w:r w:rsidR="000A13EB">
              <w:rPr>
                <w:noProof/>
                <w:webHidden/>
              </w:rPr>
              <w:fldChar w:fldCharType="end"/>
            </w:r>
          </w:hyperlink>
        </w:p>
        <w:p w:rsidR="000A13EB" w:rsidRDefault="000909E8">
          <w:pPr>
            <w:pStyle w:val="Verzeichnis2"/>
            <w:tabs>
              <w:tab w:val="left" w:pos="660"/>
              <w:tab w:val="right" w:leader="dot" w:pos="9117"/>
            </w:tabs>
            <w:rPr>
              <w:rFonts w:asciiTheme="minorHAnsi" w:eastAsiaTheme="minorEastAsia" w:hAnsiTheme="minorHAnsi"/>
              <w:noProof/>
              <w:sz w:val="22"/>
              <w:szCs w:val="22"/>
              <w:lang w:eastAsia="fr-CH"/>
            </w:rPr>
          </w:pPr>
          <w:hyperlink w:anchor="_Toc63079665" w:history="1">
            <w:r w:rsidR="000A13EB" w:rsidRPr="00467F03">
              <w:rPr>
                <w:rStyle w:val="Hyperlink"/>
                <w:noProof/>
                <w14:scene3d>
                  <w14:camera w14:prst="orthographicFront"/>
                  <w14:lightRig w14:rig="threePt" w14:dir="t">
                    <w14:rot w14:lat="0" w14:lon="0" w14:rev="0"/>
                  </w14:lightRig>
                </w14:scene3d>
              </w:rPr>
              <w:t>2.</w:t>
            </w:r>
            <w:r w:rsidR="000A13EB">
              <w:rPr>
                <w:rFonts w:asciiTheme="minorHAnsi" w:eastAsiaTheme="minorEastAsia" w:hAnsiTheme="minorHAnsi"/>
                <w:noProof/>
                <w:sz w:val="22"/>
                <w:szCs w:val="22"/>
                <w:lang w:eastAsia="fr-CH"/>
              </w:rPr>
              <w:tab/>
            </w:r>
            <w:r w:rsidR="000A13EB" w:rsidRPr="00467F03">
              <w:rPr>
                <w:rStyle w:val="Hyperlink"/>
                <w:noProof/>
              </w:rPr>
              <w:t>Répercussions sur les Eglises réformées Berne-Jura-Soleure</w:t>
            </w:r>
            <w:r w:rsidR="000A13EB">
              <w:rPr>
                <w:noProof/>
                <w:webHidden/>
              </w:rPr>
              <w:tab/>
            </w:r>
            <w:r w:rsidR="000A13EB">
              <w:rPr>
                <w:noProof/>
                <w:webHidden/>
              </w:rPr>
              <w:fldChar w:fldCharType="begin"/>
            </w:r>
            <w:r w:rsidR="000A13EB">
              <w:rPr>
                <w:noProof/>
                <w:webHidden/>
              </w:rPr>
              <w:instrText xml:space="preserve"> PAGEREF _Toc63079665 \h </w:instrText>
            </w:r>
            <w:r w:rsidR="000A13EB">
              <w:rPr>
                <w:noProof/>
                <w:webHidden/>
              </w:rPr>
            </w:r>
            <w:r w:rsidR="000A13EB">
              <w:rPr>
                <w:noProof/>
                <w:webHidden/>
              </w:rPr>
              <w:fldChar w:fldCharType="separate"/>
            </w:r>
            <w:r w:rsidR="000A13EB">
              <w:rPr>
                <w:noProof/>
                <w:webHidden/>
              </w:rPr>
              <w:t>3</w:t>
            </w:r>
            <w:r w:rsidR="000A13EB">
              <w:rPr>
                <w:noProof/>
                <w:webHidden/>
              </w:rPr>
              <w:fldChar w:fldCharType="end"/>
            </w:r>
          </w:hyperlink>
        </w:p>
        <w:p w:rsidR="000A13EB" w:rsidRDefault="000909E8">
          <w:pPr>
            <w:pStyle w:val="Verzeichnis2"/>
            <w:tabs>
              <w:tab w:val="left" w:pos="880"/>
              <w:tab w:val="right" w:leader="dot" w:pos="9117"/>
            </w:tabs>
            <w:rPr>
              <w:rFonts w:asciiTheme="minorHAnsi" w:eastAsiaTheme="minorEastAsia" w:hAnsiTheme="minorHAnsi"/>
              <w:noProof/>
              <w:sz w:val="22"/>
              <w:szCs w:val="22"/>
              <w:lang w:eastAsia="fr-CH"/>
            </w:rPr>
          </w:pPr>
          <w:hyperlink w:anchor="_Toc63079666" w:history="1">
            <w:r w:rsidR="000A13EB" w:rsidRPr="00467F03">
              <w:rPr>
                <w:rStyle w:val="Hyperlink"/>
                <w:noProof/>
              </w:rPr>
              <w:t>2.1.</w:t>
            </w:r>
            <w:r w:rsidR="000A13EB">
              <w:rPr>
                <w:rFonts w:asciiTheme="minorHAnsi" w:eastAsiaTheme="minorEastAsia" w:hAnsiTheme="minorHAnsi"/>
                <w:noProof/>
                <w:sz w:val="22"/>
                <w:szCs w:val="22"/>
                <w:lang w:eastAsia="fr-CH"/>
              </w:rPr>
              <w:tab/>
            </w:r>
            <w:r w:rsidR="000A13EB" w:rsidRPr="00467F03">
              <w:rPr>
                <w:rStyle w:val="Hyperlink"/>
                <w:noProof/>
              </w:rPr>
              <w:t>Réalisation technique</w:t>
            </w:r>
            <w:r w:rsidR="000A13EB">
              <w:rPr>
                <w:noProof/>
                <w:webHidden/>
              </w:rPr>
              <w:tab/>
            </w:r>
            <w:r w:rsidR="000A13EB">
              <w:rPr>
                <w:noProof/>
                <w:webHidden/>
              </w:rPr>
              <w:fldChar w:fldCharType="begin"/>
            </w:r>
            <w:r w:rsidR="000A13EB">
              <w:rPr>
                <w:noProof/>
                <w:webHidden/>
              </w:rPr>
              <w:instrText xml:space="preserve"> PAGEREF _Toc63079666 \h </w:instrText>
            </w:r>
            <w:r w:rsidR="000A13EB">
              <w:rPr>
                <w:noProof/>
                <w:webHidden/>
              </w:rPr>
            </w:r>
            <w:r w:rsidR="000A13EB">
              <w:rPr>
                <w:noProof/>
                <w:webHidden/>
              </w:rPr>
              <w:fldChar w:fldCharType="separate"/>
            </w:r>
            <w:r w:rsidR="000A13EB">
              <w:rPr>
                <w:noProof/>
                <w:webHidden/>
              </w:rPr>
              <w:t>3</w:t>
            </w:r>
            <w:r w:rsidR="000A13EB">
              <w:rPr>
                <w:noProof/>
                <w:webHidden/>
              </w:rPr>
              <w:fldChar w:fldCharType="end"/>
            </w:r>
          </w:hyperlink>
        </w:p>
        <w:p w:rsidR="000A13EB" w:rsidRDefault="000909E8">
          <w:pPr>
            <w:pStyle w:val="Verzeichnis2"/>
            <w:tabs>
              <w:tab w:val="left" w:pos="880"/>
              <w:tab w:val="right" w:leader="dot" w:pos="9117"/>
            </w:tabs>
            <w:rPr>
              <w:rFonts w:asciiTheme="minorHAnsi" w:eastAsiaTheme="minorEastAsia" w:hAnsiTheme="minorHAnsi"/>
              <w:noProof/>
              <w:sz w:val="22"/>
              <w:szCs w:val="22"/>
              <w:lang w:eastAsia="fr-CH"/>
            </w:rPr>
          </w:pPr>
          <w:hyperlink w:anchor="_Toc63079667" w:history="1">
            <w:r w:rsidR="000A13EB" w:rsidRPr="00467F03">
              <w:rPr>
                <w:rStyle w:val="Hyperlink"/>
                <w:noProof/>
              </w:rPr>
              <w:t>2.2.</w:t>
            </w:r>
            <w:r w:rsidR="000A13EB">
              <w:rPr>
                <w:rFonts w:asciiTheme="minorHAnsi" w:eastAsiaTheme="minorEastAsia" w:hAnsiTheme="minorHAnsi"/>
                <w:noProof/>
                <w:sz w:val="22"/>
                <w:szCs w:val="22"/>
                <w:lang w:eastAsia="fr-CH"/>
              </w:rPr>
              <w:tab/>
            </w:r>
            <w:r w:rsidR="000A13EB" w:rsidRPr="00467F03">
              <w:rPr>
                <w:rStyle w:val="Hyperlink"/>
                <w:noProof/>
              </w:rPr>
              <w:t>Charge en ressources humaines</w:t>
            </w:r>
            <w:r w:rsidR="000A13EB">
              <w:rPr>
                <w:noProof/>
                <w:webHidden/>
              </w:rPr>
              <w:tab/>
            </w:r>
            <w:r w:rsidR="000A13EB">
              <w:rPr>
                <w:noProof/>
                <w:webHidden/>
              </w:rPr>
              <w:fldChar w:fldCharType="begin"/>
            </w:r>
            <w:r w:rsidR="000A13EB">
              <w:rPr>
                <w:noProof/>
                <w:webHidden/>
              </w:rPr>
              <w:instrText xml:space="preserve"> PAGEREF _Toc63079667 \h </w:instrText>
            </w:r>
            <w:r w:rsidR="000A13EB">
              <w:rPr>
                <w:noProof/>
                <w:webHidden/>
              </w:rPr>
            </w:r>
            <w:r w:rsidR="000A13EB">
              <w:rPr>
                <w:noProof/>
                <w:webHidden/>
              </w:rPr>
              <w:fldChar w:fldCharType="separate"/>
            </w:r>
            <w:r w:rsidR="000A13EB">
              <w:rPr>
                <w:noProof/>
                <w:webHidden/>
              </w:rPr>
              <w:t>3</w:t>
            </w:r>
            <w:r w:rsidR="000A13EB">
              <w:rPr>
                <w:noProof/>
                <w:webHidden/>
              </w:rPr>
              <w:fldChar w:fldCharType="end"/>
            </w:r>
          </w:hyperlink>
        </w:p>
        <w:p w:rsidR="000A13EB" w:rsidRDefault="000909E8">
          <w:pPr>
            <w:pStyle w:val="Verzeichnis2"/>
            <w:tabs>
              <w:tab w:val="left" w:pos="880"/>
              <w:tab w:val="right" w:leader="dot" w:pos="9117"/>
            </w:tabs>
            <w:rPr>
              <w:rFonts w:asciiTheme="minorHAnsi" w:eastAsiaTheme="minorEastAsia" w:hAnsiTheme="minorHAnsi"/>
              <w:noProof/>
              <w:sz w:val="22"/>
              <w:szCs w:val="22"/>
              <w:lang w:eastAsia="fr-CH"/>
            </w:rPr>
          </w:pPr>
          <w:hyperlink w:anchor="_Toc63079668" w:history="1">
            <w:r w:rsidR="000A13EB" w:rsidRPr="00467F03">
              <w:rPr>
                <w:rStyle w:val="Hyperlink"/>
                <w:noProof/>
              </w:rPr>
              <w:t>2.3.</w:t>
            </w:r>
            <w:r w:rsidR="000A13EB">
              <w:rPr>
                <w:rFonts w:asciiTheme="minorHAnsi" w:eastAsiaTheme="minorEastAsia" w:hAnsiTheme="minorHAnsi"/>
                <w:noProof/>
                <w:sz w:val="22"/>
                <w:szCs w:val="22"/>
                <w:lang w:eastAsia="fr-CH"/>
              </w:rPr>
              <w:tab/>
            </w:r>
            <w:r w:rsidR="000A13EB" w:rsidRPr="00467F03">
              <w:rPr>
                <w:rStyle w:val="Hyperlink"/>
                <w:noProof/>
              </w:rPr>
              <w:t>Implications financières</w:t>
            </w:r>
            <w:r w:rsidR="000A13EB">
              <w:rPr>
                <w:noProof/>
                <w:webHidden/>
              </w:rPr>
              <w:tab/>
            </w:r>
            <w:r w:rsidR="000A13EB">
              <w:rPr>
                <w:noProof/>
                <w:webHidden/>
              </w:rPr>
              <w:fldChar w:fldCharType="begin"/>
            </w:r>
            <w:r w:rsidR="000A13EB">
              <w:rPr>
                <w:noProof/>
                <w:webHidden/>
              </w:rPr>
              <w:instrText xml:space="preserve"> PAGEREF _Toc63079668 \h </w:instrText>
            </w:r>
            <w:r w:rsidR="000A13EB">
              <w:rPr>
                <w:noProof/>
                <w:webHidden/>
              </w:rPr>
            </w:r>
            <w:r w:rsidR="000A13EB">
              <w:rPr>
                <w:noProof/>
                <w:webHidden/>
              </w:rPr>
              <w:fldChar w:fldCharType="separate"/>
            </w:r>
            <w:r w:rsidR="000A13EB">
              <w:rPr>
                <w:noProof/>
                <w:webHidden/>
              </w:rPr>
              <w:t>3</w:t>
            </w:r>
            <w:r w:rsidR="000A13EB">
              <w:rPr>
                <w:noProof/>
                <w:webHidden/>
              </w:rPr>
              <w:fldChar w:fldCharType="end"/>
            </w:r>
          </w:hyperlink>
        </w:p>
        <w:p w:rsidR="000A13EB" w:rsidRDefault="000909E8">
          <w:pPr>
            <w:pStyle w:val="Verzeichnis2"/>
            <w:tabs>
              <w:tab w:val="left" w:pos="880"/>
              <w:tab w:val="right" w:leader="dot" w:pos="9117"/>
            </w:tabs>
            <w:rPr>
              <w:rFonts w:asciiTheme="minorHAnsi" w:eastAsiaTheme="minorEastAsia" w:hAnsiTheme="minorHAnsi"/>
              <w:noProof/>
              <w:sz w:val="22"/>
              <w:szCs w:val="22"/>
              <w:lang w:eastAsia="fr-CH"/>
            </w:rPr>
          </w:pPr>
          <w:hyperlink w:anchor="_Toc63079669" w:history="1">
            <w:r w:rsidR="000A13EB" w:rsidRPr="00467F03">
              <w:rPr>
                <w:rStyle w:val="Hyperlink"/>
                <w:noProof/>
              </w:rPr>
              <w:t>2.4.</w:t>
            </w:r>
            <w:r w:rsidR="000A13EB">
              <w:rPr>
                <w:rFonts w:asciiTheme="minorHAnsi" w:eastAsiaTheme="minorEastAsia" w:hAnsiTheme="minorHAnsi"/>
                <w:noProof/>
                <w:sz w:val="22"/>
                <w:szCs w:val="22"/>
                <w:lang w:eastAsia="fr-CH"/>
              </w:rPr>
              <w:tab/>
            </w:r>
            <w:r w:rsidR="000A13EB" w:rsidRPr="00467F03">
              <w:rPr>
                <w:rStyle w:val="Hyperlink"/>
                <w:noProof/>
              </w:rPr>
              <w:t>Conclusion</w:t>
            </w:r>
            <w:r w:rsidR="000A13EB">
              <w:rPr>
                <w:noProof/>
                <w:webHidden/>
              </w:rPr>
              <w:tab/>
            </w:r>
            <w:r w:rsidR="000A13EB">
              <w:rPr>
                <w:noProof/>
                <w:webHidden/>
              </w:rPr>
              <w:fldChar w:fldCharType="begin"/>
            </w:r>
            <w:r w:rsidR="000A13EB">
              <w:rPr>
                <w:noProof/>
                <w:webHidden/>
              </w:rPr>
              <w:instrText xml:space="preserve"> PAGEREF _Toc63079669 \h </w:instrText>
            </w:r>
            <w:r w:rsidR="000A13EB">
              <w:rPr>
                <w:noProof/>
                <w:webHidden/>
              </w:rPr>
            </w:r>
            <w:r w:rsidR="000A13EB">
              <w:rPr>
                <w:noProof/>
                <w:webHidden/>
              </w:rPr>
              <w:fldChar w:fldCharType="separate"/>
            </w:r>
            <w:r w:rsidR="000A13EB">
              <w:rPr>
                <w:noProof/>
                <w:webHidden/>
              </w:rPr>
              <w:t>4</w:t>
            </w:r>
            <w:r w:rsidR="000A13EB">
              <w:rPr>
                <w:noProof/>
                <w:webHidden/>
              </w:rPr>
              <w:fldChar w:fldCharType="end"/>
            </w:r>
          </w:hyperlink>
        </w:p>
        <w:p w:rsidR="000A13EB" w:rsidRDefault="000909E8">
          <w:pPr>
            <w:pStyle w:val="Verzeichnis2"/>
            <w:tabs>
              <w:tab w:val="left" w:pos="660"/>
              <w:tab w:val="right" w:leader="dot" w:pos="9117"/>
            </w:tabs>
            <w:rPr>
              <w:rFonts w:asciiTheme="minorHAnsi" w:eastAsiaTheme="minorEastAsia" w:hAnsiTheme="minorHAnsi"/>
              <w:noProof/>
              <w:sz w:val="22"/>
              <w:szCs w:val="22"/>
              <w:lang w:eastAsia="fr-CH"/>
            </w:rPr>
          </w:pPr>
          <w:hyperlink w:anchor="_Toc63079670" w:history="1">
            <w:r w:rsidR="000A13EB" w:rsidRPr="00467F03">
              <w:rPr>
                <w:rStyle w:val="Hyperlink"/>
                <w:noProof/>
                <w14:scene3d>
                  <w14:camera w14:prst="orthographicFront"/>
                  <w14:lightRig w14:rig="threePt" w14:dir="t">
                    <w14:rot w14:lat="0" w14:lon="0" w14:rev="0"/>
                  </w14:lightRig>
                </w14:scene3d>
              </w:rPr>
              <w:t>3.</w:t>
            </w:r>
            <w:r w:rsidR="000A13EB">
              <w:rPr>
                <w:rFonts w:asciiTheme="minorHAnsi" w:eastAsiaTheme="minorEastAsia" w:hAnsiTheme="minorHAnsi"/>
                <w:noProof/>
                <w:sz w:val="22"/>
                <w:szCs w:val="22"/>
                <w:lang w:eastAsia="fr-CH"/>
              </w:rPr>
              <w:tab/>
            </w:r>
            <w:r w:rsidR="000A13EB" w:rsidRPr="00467F03">
              <w:rPr>
                <w:rStyle w:val="Hyperlink"/>
                <w:noProof/>
              </w:rPr>
              <w:t>Implications sur les paroisses du canton de Berne</w:t>
            </w:r>
            <w:r w:rsidR="000A13EB">
              <w:rPr>
                <w:noProof/>
                <w:webHidden/>
              </w:rPr>
              <w:tab/>
            </w:r>
            <w:r w:rsidR="000A13EB">
              <w:rPr>
                <w:noProof/>
                <w:webHidden/>
              </w:rPr>
              <w:fldChar w:fldCharType="begin"/>
            </w:r>
            <w:r w:rsidR="000A13EB">
              <w:rPr>
                <w:noProof/>
                <w:webHidden/>
              </w:rPr>
              <w:instrText xml:space="preserve"> PAGEREF _Toc63079670 \h </w:instrText>
            </w:r>
            <w:r w:rsidR="000A13EB">
              <w:rPr>
                <w:noProof/>
                <w:webHidden/>
              </w:rPr>
            </w:r>
            <w:r w:rsidR="000A13EB">
              <w:rPr>
                <w:noProof/>
                <w:webHidden/>
              </w:rPr>
              <w:fldChar w:fldCharType="separate"/>
            </w:r>
            <w:r w:rsidR="000A13EB">
              <w:rPr>
                <w:noProof/>
                <w:webHidden/>
              </w:rPr>
              <w:t>4</w:t>
            </w:r>
            <w:r w:rsidR="000A13EB">
              <w:rPr>
                <w:noProof/>
                <w:webHidden/>
              </w:rPr>
              <w:fldChar w:fldCharType="end"/>
            </w:r>
          </w:hyperlink>
        </w:p>
        <w:p w:rsidR="000A13EB" w:rsidRDefault="000909E8">
          <w:pPr>
            <w:pStyle w:val="Verzeichnis2"/>
            <w:tabs>
              <w:tab w:val="left" w:pos="880"/>
              <w:tab w:val="right" w:leader="dot" w:pos="9117"/>
            </w:tabs>
            <w:rPr>
              <w:rFonts w:asciiTheme="minorHAnsi" w:eastAsiaTheme="minorEastAsia" w:hAnsiTheme="minorHAnsi"/>
              <w:noProof/>
              <w:sz w:val="22"/>
              <w:szCs w:val="22"/>
              <w:lang w:eastAsia="fr-CH"/>
            </w:rPr>
          </w:pPr>
          <w:hyperlink w:anchor="_Toc63079672" w:history="1">
            <w:r w:rsidR="000A13EB" w:rsidRPr="00467F03">
              <w:rPr>
                <w:rStyle w:val="Hyperlink"/>
                <w:noProof/>
              </w:rPr>
              <w:t>3.1.</w:t>
            </w:r>
            <w:r w:rsidR="000A13EB">
              <w:rPr>
                <w:rFonts w:asciiTheme="minorHAnsi" w:eastAsiaTheme="minorEastAsia" w:hAnsiTheme="minorHAnsi"/>
                <w:noProof/>
                <w:sz w:val="22"/>
                <w:szCs w:val="22"/>
                <w:lang w:eastAsia="fr-CH"/>
              </w:rPr>
              <w:tab/>
            </w:r>
            <w:r w:rsidR="000A13EB" w:rsidRPr="00467F03">
              <w:rPr>
                <w:rStyle w:val="Hyperlink"/>
                <w:noProof/>
              </w:rPr>
              <w:t>Réalisation technique</w:t>
            </w:r>
            <w:r w:rsidR="000A13EB">
              <w:rPr>
                <w:noProof/>
                <w:webHidden/>
              </w:rPr>
              <w:tab/>
            </w:r>
            <w:r w:rsidR="000A13EB">
              <w:rPr>
                <w:noProof/>
                <w:webHidden/>
              </w:rPr>
              <w:fldChar w:fldCharType="begin"/>
            </w:r>
            <w:r w:rsidR="000A13EB">
              <w:rPr>
                <w:noProof/>
                <w:webHidden/>
              </w:rPr>
              <w:instrText xml:space="preserve"> PAGEREF _Toc63079672 \h </w:instrText>
            </w:r>
            <w:r w:rsidR="000A13EB">
              <w:rPr>
                <w:noProof/>
                <w:webHidden/>
              </w:rPr>
            </w:r>
            <w:r w:rsidR="000A13EB">
              <w:rPr>
                <w:noProof/>
                <w:webHidden/>
              </w:rPr>
              <w:fldChar w:fldCharType="separate"/>
            </w:r>
            <w:r w:rsidR="000A13EB">
              <w:rPr>
                <w:noProof/>
                <w:webHidden/>
              </w:rPr>
              <w:t>4</w:t>
            </w:r>
            <w:r w:rsidR="000A13EB">
              <w:rPr>
                <w:noProof/>
                <w:webHidden/>
              </w:rPr>
              <w:fldChar w:fldCharType="end"/>
            </w:r>
          </w:hyperlink>
        </w:p>
        <w:p w:rsidR="000A13EB" w:rsidRDefault="000909E8">
          <w:pPr>
            <w:pStyle w:val="Verzeichnis2"/>
            <w:tabs>
              <w:tab w:val="left" w:pos="880"/>
              <w:tab w:val="right" w:leader="dot" w:pos="9117"/>
            </w:tabs>
            <w:rPr>
              <w:rFonts w:asciiTheme="minorHAnsi" w:eastAsiaTheme="minorEastAsia" w:hAnsiTheme="minorHAnsi"/>
              <w:noProof/>
              <w:sz w:val="22"/>
              <w:szCs w:val="22"/>
              <w:lang w:eastAsia="fr-CH"/>
            </w:rPr>
          </w:pPr>
          <w:hyperlink w:anchor="_Toc63079673" w:history="1">
            <w:r w:rsidR="000A13EB" w:rsidRPr="00467F03">
              <w:rPr>
                <w:rStyle w:val="Hyperlink"/>
                <w:noProof/>
              </w:rPr>
              <w:t>3.2.</w:t>
            </w:r>
            <w:r w:rsidR="000A13EB">
              <w:rPr>
                <w:rFonts w:asciiTheme="minorHAnsi" w:eastAsiaTheme="minorEastAsia" w:hAnsiTheme="minorHAnsi"/>
                <w:noProof/>
                <w:sz w:val="22"/>
                <w:szCs w:val="22"/>
                <w:lang w:eastAsia="fr-CH"/>
              </w:rPr>
              <w:tab/>
            </w:r>
            <w:r w:rsidR="000A13EB" w:rsidRPr="00467F03">
              <w:rPr>
                <w:rStyle w:val="Hyperlink"/>
                <w:noProof/>
              </w:rPr>
              <w:t>Charge en ressources humaines</w:t>
            </w:r>
            <w:r w:rsidR="000A13EB">
              <w:rPr>
                <w:noProof/>
                <w:webHidden/>
              </w:rPr>
              <w:tab/>
            </w:r>
            <w:r w:rsidR="000A13EB">
              <w:rPr>
                <w:noProof/>
                <w:webHidden/>
              </w:rPr>
              <w:fldChar w:fldCharType="begin"/>
            </w:r>
            <w:r w:rsidR="000A13EB">
              <w:rPr>
                <w:noProof/>
                <w:webHidden/>
              </w:rPr>
              <w:instrText xml:space="preserve"> PAGEREF _Toc63079673 \h </w:instrText>
            </w:r>
            <w:r w:rsidR="000A13EB">
              <w:rPr>
                <w:noProof/>
                <w:webHidden/>
              </w:rPr>
            </w:r>
            <w:r w:rsidR="000A13EB">
              <w:rPr>
                <w:noProof/>
                <w:webHidden/>
              </w:rPr>
              <w:fldChar w:fldCharType="separate"/>
            </w:r>
            <w:r w:rsidR="000A13EB">
              <w:rPr>
                <w:noProof/>
                <w:webHidden/>
              </w:rPr>
              <w:t>4</w:t>
            </w:r>
            <w:r w:rsidR="000A13EB">
              <w:rPr>
                <w:noProof/>
                <w:webHidden/>
              </w:rPr>
              <w:fldChar w:fldCharType="end"/>
            </w:r>
          </w:hyperlink>
        </w:p>
        <w:p w:rsidR="000A13EB" w:rsidRDefault="000909E8">
          <w:pPr>
            <w:pStyle w:val="Verzeichnis2"/>
            <w:tabs>
              <w:tab w:val="left" w:pos="880"/>
              <w:tab w:val="right" w:leader="dot" w:pos="9117"/>
            </w:tabs>
            <w:rPr>
              <w:rFonts w:asciiTheme="minorHAnsi" w:eastAsiaTheme="minorEastAsia" w:hAnsiTheme="minorHAnsi"/>
              <w:noProof/>
              <w:sz w:val="22"/>
              <w:szCs w:val="22"/>
              <w:lang w:eastAsia="fr-CH"/>
            </w:rPr>
          </w:pPr>
          <w:hyperlink w:anchor="_Toc63079674" w:history="1">
            <w:r w:rsidR="000A13EB" w:rsidRPr="00467F03">
              <w:rPr>
                <w:rStyle w:val="Hyperlink"/>
                <w:noProof/>
              </w:rPr>
              <w:t>3.3.</w:t>
            </w:r>
            <w:r w:rsidR="000A13EB">
              <w:rPr>
                <w:rFonts w:asciiTheme="minorHAnsi" w:eastAsiaTheme="minorEastAsia" w:hAnsiTheme="minorHAnsi"/>
                <w:noProof/>
                <w:sz w:val="22"/>
                <w:szCs w:val="22"/>
                <w:lang w:eastAsia="fr-CH"/>
              </w:rPr>
              <w:tab/>
            </w:r>
            <w:r w:rsidR="000A13EB" w:rsidRPr="00467F03">
              <w:rPr>
                <w:rStyle w:val="Hyperlink"/>
                <w:noProof/>
              </w:rPr>
              <w:t>Implications financières</w:t>
            </w:r>
            <w:r w:rsidR="000A13EB">
              <w:rPr>
                <w:noProof/>
                <w:webHidden/>
              </w:rPr>
              <w:tab/>
            </w:r>
            <w:r w:rsidR="000A13EB">
              <w:rPr>
                <w:noProof/>
                <w:webHidden/>
              </w:rPr>
              <w:fldChar w:fldCharType="begin"/>
            </w:r>
            <w:r w:rsidR="000A13EB">
              <w:rPr>
                <w:noProof/>
                <w:webHidden/>
              </w:rPr>
              <w:instrText xml:space="preserve"> PAGEREF _Toc63079674 \h </w:instrText>
            </w:r>
            <w:r w:rsidR="000A13EB">
              <w:rPr>
                <w:noProof/>
                <w:webHidden/>
              </w:rPr>
            </w:r>
            <w:r w:rsidR="000A13EB">
              <w:rPr>
                <w:noProof/>
                <w:webHidden/>
              </w:rPr>
              <w:fldChar w:fldCharType="separate"/>
            </w:r>
            <w:r w:rsidR="000A13EB">
              <w:rPr>
                <w:noProof/>
                <w:webHidden/>
              </w:rPr>
              <w:t>4</w:t>
            </w:r>
            <w:r w:rsidR="000A13EB">
              <w:rPr>
                <w:noProof/>
                <w:webHidden/>
              </w:rPr>
              <w:fldChar w:fldCharType="end"/>
            </w:r>
          </w:hyperlink>
        </w:p>
        <w:p w:rsidR="009F33BF" w:rsidRDefault="009F33BF">
          <w:r>
            <w:rPr>
              <w:b/>
            </w:rPr>
            <w:fldChar w:fldCharType="end"/>
          </w:r>
        </w:p>
      </w:sdtContent>
    </w:sdt>
    <w:p w:rsidR="00E0419A" w:rsidRDefault="00E0419A" w:rsidP="00E62E7C"/>
    <w:p w:rsidR="00E0419A" w:rsidRDefault="00E0419A" w:rsidP="00E62E7C"/>
    <w:p w:rsidR="007C7A7F" w:rsidRDefault="007C7A7F">
      <w:r>
        <w:br w:type="page"/>
      </w:r>
    </w:p>
    <w:p w:rsidR="009C08D2" w:rsidRPr="00514CC2" w:rsidRDefault="009C08D2" w:rsidP="002F405E">
      <w:pPr>
        <w:pStyle w:val="Listenabsatz"/>
      </w:pPr>
      <w:bookmarkStart w:id="1" w:name="_Toc63079664"/>
      <w:r>
        <w:lastRenderedPageBreak/>
        <w:t>Contexte</w:t>
      </w:r>
      <w:bookmarkEnd w:id="1"/>
    </w:p>
    <w:p w:rsidR="009C08D2" w:rsidRDefault="009C08D2" w:rsidP="009C08D2">
      <w:r>
        <w:t>Les paroisses du canton de Berne versent les contributions suivantes aux Eglises réformées Berne-Jura-Soleure</w:t>
      </w:r>
    </w:p>
    <w:p w:rsidR="007C7A7F" w:rsidRDefault="007C7A7F" w:rsidP="009C08D2"/>
    <w:p w:rsidR="009C08D2" w:rsidRPr="007C7A7F" w:rsidRDefault="00182A2F" w:rsidP="009B178F">
      <w:pPr>
        <w:pStyle w:val="Textfortlaufend"/>
        <w:numPr>
          <w:ilvl w:val="0"/>
          <w:numId w:val="40"/>
        </w:numPr>
        <w:spacing w:after="0"/>
        <w:ind w:left="425" w:hanging="425"/>
        <w:jc w:val="both"/>
        <w:rPr>
          <w:sz w:val="20"/>
          <w:szCs w:val="20"/>
        </w:rPr>
      </w:pPr>
      <w:r>
        <w:rPr>
          <w:sz w:val="20"/>
        </w:rPr>
        <w:t xml:space="preserve">Contributions au titre de la péréquation financière pour les paroisses réformées évangéliques du canton de Berne et </w:t>
      </w:r>
    </w:p>
    <w:p w:rsidR="009C08D2" w:rsidRPr="007C7A7F" w:rsidRDefault="009B178F" w:rsidP="009B178F">
      <w:pPr>
        <w:pStyle w:val="Textfortlaufend"/>
        <w:numPr>
          <w:ilvl w:val="0"/>
          <w:numId w:val="40"/>
        </w:numPr>
        <w:spacing w:after="0"/>
        <w:ind w:left="425" w:hanging="425"/>
        <w:jc w:val="both"/>
        <w:rPr>
          <w:sz w:val="20"/>
          <w:szCs w:val="20"/>
        </w:rPr>
      </w:pPr>
      <w:r>
        <w:rPr>
          <w:sz w:val="20"/>
        </w:rPr>
        <w:t>Contributions à l’Union synodale</w:t>
      </w:r>
    </w:p>
    <w:p w:rsidR="00182A2F" w:rsidRDefault="00182A2F" w:rsidP="00F000F5"/>
    <w:p w:rsidR="001F15B6" w:rsidRDefault="00E62E7C" w:rsidP="00F000F5">
      <w:r>
        <w:t>La base de calcul de ces contributions est constituée par l</w:t>
      </w:r>
      <w:r w:rsidR="0008609F">
        <w:t>e</w:t>
      </w:r>
      <w:r>
        <w:t xml:space="preserve"> rendement de l’impôt paroissial deux années avant l’année où la contribution est due. Les paroisses ont demandé au Conseil synodal de bien vouloir examiner s’il était possible de procéder à la détermination des contributions sur la base des revenus fiscaux de l’année antérieure. Elles argumentent par le fait qu’avec le système actuel d’une détermination de la contribution sur la base du revenu antérieur, elles doivent s’acquit</w:t>
      </w:r>
      <w:r w:rsidR="0008609F">
        <w:t>t</w:t>
      </w:r>
      <w:r>
        <w:t>er de contributions qui ne correspond</w:t>
      </w:r>
      <w:r w:rsidR="0008609F">
        <w:t>ent</w:t>
      </w:r>
      <w:r>
        <w:t xml:space="preserve"> plus à la réalité actuelle de leurs recettes soit de leurs rentrées fiscales ni de leurs liquidités. Le maintien du système actuel de détermination de la contribution paroissiale risque d’aggraver encore la problématique des liquidités compte tenu du recul continu du nombre de membres et de la chute à court terme des rentrées fiscales sur une période fiscale consécutive à la pandémie de coronavirus. </w:t>
      </w:r>
    </w:p>
    <w:p w:rsidR="00D24D9D" w:rsidRDefault="00D24D9D" w:rsidP="00F000F5"/>
    <w:p w:rsidR="00ED69A7" w:rsidRDefault="0034130F" w:rsidP="00F000F5">
      <w:r>
        <w:t>Un changement de système permettrait d’aligner le versement des contributions à l’Union synodale sur la procédure suivie par le canton pour la taxation au titre de l’impôt cantonal et communal (imposition selon le revenu acquis). Pour les contributions paroissiales, cela signifie que le montant des trois tranches de l’année de facturation serait fixé sur la base des impôts de l’année précédente. Au cours de l’année qui suit, il est procédé à un décompte entre les acomptes versés et la contribution calculée sur la base du rendement de l’impôt de l’année précédente. Il peut résulter de cette procédure une facturation complémentaire aux paroisses pour le montant dû ou</w:t>
      </w:r>
      <w:r w:rsidR="0008609F">
        <w:t>, au contraire,</w:t>
      </w:r>
      <w:r>
        <w:t xml:space="preserve"> une restitution du montant versé en trop. En </w:t>
      </w:r>
      <w:r w:rsidR="0008609F">
        <w:t xml:space="preserve">ce </w:t>
      </w:r>
      <w:r>
        <w:t xml:space="preserve">qui concerne les contributions au titre de la péréquation financière, compte tenu du système de compensation, un passage au système de la détermination de la contribution selon le revenu acquis n’est pas possible; on peut </w:t>
      </w:r>
      <w:r w:rsidR="0008609F">
        <w:t>toutefois</w:t>
      </w:r>
      <w:r>
        <w:t xml:space="preserve"> renoncer à l’«année intermédiaire». Néanmoins, ce changement de système permet de mieux «coller» à la réalité financière </w:t>
      </w:r>
      <w:r w:rsidR="0008609F">
        <w:t xml:space="preserve">effective </w:t>
      </w:r>
      <w:r>
        <w:t>des paroisses. Avec ce changement de sy</w:t>
      </w:r>
      <w:r w:rsidR="0008609F">
        <w:t>st</w:t>
      </w:r>
      <w:r>
        <w:t xml:space="preserve">ème, les paroisses doivent elles-mêmes calculer les deux contributions au moment de l’élaboration de leur budget. Jusqu’ici l’Union synodale pouvait informer les paroisses sur le montant des contributions en amont de l’élaboration de leur budget. En cas </w:t>
      </w:r>
      <w:r w:rsidR="0008609F">
        <w:t>d</w:t>
      </w:r>
      <w:r>
        <w:t>e changement de système, l’Union synodale ne sera plus en mesure de donner ces informations puisqu’elle n’y aura plus accès.</w:t>
      </w:r>
    </w:p>
    <w:p w:rsidR="0034130F" w:rsidRDefault="0034130F" w:rsidP="00F000F5"/>
    <w:p w:rsidR="00470D76" w:rsidRDefault="00ED69A7" w:rsidP="00F000F5">
      <w:r>
        <w:t>Tableau récapitulatif basé sur l’exemple des contributions paroissiales en 2023 en comparaison avec le système actuel.</w:t>
      </w:r>
    </w:p>
    <w:p w:rsidR="00B77A36" w:rsidRDefault="00B77A36" w:rsidP="00F000F5"/>
    <w:tbl>
      <w:tblPr>
        <w:tblStyle w:val="Tabellenraster"/>
        <w:tblW w:w="0" w:type="auto"/>
        <w:tblInd w:w="-5" w:type="dxa"/>
        <w:tblLayout w:type="fixed"/>
        <w:tblLook w:val="04A0" w:firstRow="1" w:lastRow="0" w:firstColumn="1" w:lastColumn="0" w:noHBand="0" w:noVBand="1"/>
      </w:tblPr>
      <w:tblGrid>
        <w:gridCol w:w="1843"/>
        <w:gridCol w:w="2126"/>
        <w:gridCol w:w="2552"/>
        <w:gridCol w:w="2410"/>
      </w:tblGrid>
      <w:tr w:rsidR="005F5E10" w:rsidRPr="005F5E10" w:rsidTr="00C956FE">
        <w:trPr>
          <w:trHeight w:hRule="exact" w:val="454"/>
          <w:tblHeader/>
        </w:trPr>
        <w:tc>
          <w:tcPr>
            <w:tcW w:w="1843" w:type="dxa"/>
            <w:tcBorders>
              <w:bottom w:val="single" w:sz="4" w:space="0" w:color="auto"/>
              <w:tl2br w:val="single" w:sz="4" w:space="0" w:color="auto"/>
            </w:tcBorders>
            <w:shd w:val="clear" w:color="auto" w:fill="D9D9D9" w:themeFill="background1" w:themeFillShade="D9"/>
          </w:tcPr>
          <w:p w:rsidR="00470D76" w:rsidRDefault="00470D76" w:rsidP="00E21C31">
            <w:pPr>
              <w:pStyle w:val="RefGrundtext"/>
              <w:spacing w:line="240" w:lineRule="auto"/>
              <w:jc w:val="right"/>
              <w:rPr>
                <w:b/>
                <w:sz w:val="16"/>
                <w:szCs w:val="16"/>
              </w:rPr>
            </w:pPr>
            <w:r>
              <w:rPr>
                <w:b/>
                <w:sz w:val="16"/>
              </w:rPr>
              <w:t>Année civile</w:t>
            </w:r>
          </w:p>
          <w:p w:rsidR="00E21C31" w:rsidRPr="005F5E10" w:rsidRDefault="00C956FE" w:rsidP="00E21C31">
            <w:pPr>
              <w:pStyle w:val="RefGrundtext"/>
              <w:spacing w:line="240" w:lineRule="auto"/>
              <w:rPr>
                <w:b/>
                <w:sz w:val="16"/>
                <w:szCs w:val="16"/>
              </w:rPr>
            </w:pPr>
            <w:r>
              <w:rPr>
                <w:b/>
                <w:sz w:val="16"/>
              </w:rPr>
              <w:t>Contribution</w:t>
            </w:r>
          </w:p>
        </w:tc>
        <w:tc>
          <w:tcPr>
            <w:tcW w:w="2126" w:type="dxa"/>
            <w:tcBorders>
              <w:bottom w:val="single" w:sz="4" w:space="0" w:color="auto"/>
              <w:tl2br w:val="nil"/>
            </w:tcBorders>
            <w:shd w:val="clear" w:color="auto" w:fill="D9D9D9" w:themeFill="background1" w:themeFillShade="D9"/>
          </w:tcPr>
          <w:p w:rsidR="00470D76" w:rsidRPr="005F5E10" w:rsidRDefault="00470D76" w:rsidP="00E21C31">
            <w:pPr>
              <w:pStyle w:val="RefGrundtext"/>
              <w:spacing w:line="240" w:lineRule="auto"/>
              <w:jc w:val="center"/>
              <w:rPr>
                <w:b/>
                <w:sz w:val="16"/>
                <w:szCs w:val="16"/>
              </w:rPr>
            </w:pPr>
            <w:r>
              <w:rPr>
                <w:b/>
                <w:sz w:val="16"/>
              </w:rPr>
              <w:t>2021</w:t>
            </w:r>
          </w:p>
        </w:tc>
        <w:tc>
          <w:tcPr>
            <w:tcW w:w="2552" w:type="dxa"/>
            <w:tcBorders>
              <w:bottom w:val="single" w:sz="4" w:space="0" w:color="auto"/>
              <w:tl2br w:val="nil"/>
            </w:tcBorders>
            <w:shd w:val="clear" w:color="auto" w:fill="D9D9D9" w:themeFill="background1" w:themeFillShade="D9"/>
          </w:tcPr>
          <w:p w:rsidR="00470D76" w:rsidRPr="005F5E10" w:rsidRDefault="00E62E7C" w:rsidP="00E21C31">
            <w:pPr>
              <w:pStyle w:val="RefGrundtext"/>
              <w:spacing w:line="240" w:lineRule="auto"/>
              <w:jc w:val="center"/>
              <w:rPr>
                <w:b/>
                <w:sz w:val="16"/>
                <w:szCs w:val="16"/>
              </w:rPr>
            </w:pPr>
            <w:r>
              <w:rPr>
                <w:b/>
                <w:sz w:val="16"/>
              </w:rPr>
              <w:t>2022</w:t>
            </w:r>
          </w:p>
        </w:tc>
        <w:tc>
          <w:tcPr>
            <w:tcW w:w="2410" w:type="dxa"/>
            <w:tcBorders>
              <w:bottom w:val="single" w:sz="4" w:space="0" w:color="auto"/>
              <w:tl2br w:val="nil"/>
            </w:tcBorders>
            <w:shd w:val="clear" w:color="auto" w:fill="D9D9D9" w:themeFill="background1" w:themeFillShade="D9"/>
          </w:tcPr>
          <w:p w:rsidR="00470D76" w:rsidRPr="005F5E10" w:rsidRDefault="00E62E7C" w:rsidP="00E21C31">
            <w:pPr>
              <w:pStyle w:val="RefGrundtext"/>
              <w:spacing w:line="240" w:lineRule="auto"/>
              <w:jc w:val="center"/>
              <w:rPr>
                <w:b/>
                <w:sz w:val="16"/>
                <w:szCs w:val="16"/>
              </w:rPr>
            </w:pPr>
            <w:r>
              <w:rPr>
                <w:b/>
                <w:sz w:val="16"/>
              </w:rPr>
              <w:t>2023</w:t>
            </w:r>
          </w:p>
        </w:tc>
      </w:tr>
      <w:tr w:rsidR="000D0FFE" w:rsidRPr="005F5E10" w:rsidTr="00DD2DA6">
        <w:trPr>
          <w:trHeight w:hRule="exact" w:val="260"/>
        </w:trPr>
        <w:tc>
          <w:tcPr>
            <w:tcW w:w="1843" w:type="dxa"/>
            <w:tcBorders>
              <w:right w:val="nil"/>
              <w:tl2br w:val="nil"/>
            </w:tcBorders>
            <w:shd w:val="clear" w:color="auto" w:fill="F2F2F2" w:themeFill="background1" w:themeFillShade="F2"/>
            <w:vAlign w:val="center"/>
          </w:tcPr>
          <w:p w:rsidR="000D0FFE" w:rsidRPr="005F5E10" w:rsidRDefault="000D0FFE" w:rsidP="000D0FFE">
            <w:pPr>
              <w:pStyle w:val="RefGrundtext"/>
              <w:spacing w:line="240" w:lineRule="auto"/>
              <w:rPr>
                <w:b/>
                <w:sz w:val="16"/>
                <w:szCs w:val="16"/>
              </w:rPr>
            </w:pPr>
            <w:r>
              <w:rPr>
                <w:b/>
                <w:sz w:val="16"/>
              </w:rPr>
              <w:t>Auparavant</w:t>
            </w:r>
          </w:p>
        </w:tc>
        <w:tc>
          <w:tcPr>
            <w:tcW w:w="2126" w:type="dxa"/>
            <w:tcBorders>
              <w:left w:val="nil"/>
              <w:right w:val="nil"/>
              <w:tl2br w:val="nil"/>
            </w:tcBorders>
            <w:shd w:val="clear" w:color="auto" w:fill="F2F2F2" w:themeFill="background1" w:themeFillShade="F2"/>
            <w:vAlign w:val="center"/>
          </w:tcPr>
          <w:p w:rsidR="000D0FFE" w:rsidRPr="005F5E10" w:rsidRDefault="000D0FFE" w:rsidP="00E21C31">
            <w:pPr>
              <w:pStyle w:val="RefGrundtext"/>
              <w:spacing w:line="240" w:lineRule="auto"/>
              <w:jc w:val="center"/>
              <w:rPr>
                <w:b/>
                <w:sz w:val="16"/>
                <w:szCs w:val="16"/>
              </w:rPr>
            </w:pPr>
          </w:p>
        </w:tc>
        <w:tc>
          <w:tcPr>
            <w:tcW w:w="2552" w:type="dxa"/>
            <w:tcBorders>
              <w:left w:val="nil"/>
              <w:bottom w:val="single" w:sz="4" w:space="0" w:color="auto"/>
              <w:right w:val="nil"/>
              <w:tl2br w:val="nil"/>
            </w:tcBorders>
            <w:shd w:val="clear" w:color="auto" w:fill="F2F2F2" w:themeFill="background1" w:themeFillShade="F2"/>
            <w:vAlign w:val="center"/>
          </w:tcPr>
          <w:p w:rsidR="000D0FFE" w:rsidRDefault="000D0FFE" w:rsidP="00E21C31">
            <w:pPr>
              <w:pStyle w:val="RefGrundtext"/>
              <w:spacing w:line="240" w:lineRule="auto"/>
              <w:jc w:val="center"/>
              <w:rPr>
                <w:b/>
                <w:sz w:val="16"/>
                <w:szCs w:val="16"/>
              </w:rPr>
            </w:pPr>
          </w:p>
        </w:tc>
        <w:tc>
          <w:tcPr>
            <w:tcW w:w="2410" w:type="dxa"/>
            <w:tcBorders>
              <w:left w:val="nil"/>
              <w:tl2br w:val="nil"/>
            </w:tcBorders>
            <w:shd w:val="clear" w:color="auto" w:fill="F2F2F2" w:themeFill="background1" w:themeFillShade="F2"/>
            <w:vAlign w:val="center"/>
          </w:tcPr>
          <w:p w:rsidR="000D0FFE" w:rsidRDefault="000D0FFE" w:rsidP="00E21C31">
            <w:pPr>
              <w:pStyle w:val="RefGrundtext"/>
              <w:spacing w:line="240" w:lineRule="auto"/>
              <w:jc w:val="center"/>
              <w:rPr>
                <w:b/>
                <w:sz w:val="16"/>
                <w:szCs w:val="16"/>
              </w:rPr>
            </w:pPr>
          </w:p>
        </w:tc>
      </w:tr>
      <w:tr w:rsidR="00470D76" w:rsidRPr="005F5E10" w:rsidTr="0008609F">
        <w:trPr>
          <w:trHeight w:hRule="exact" w:val="926"/>
        </w:trPr>
        <w:tc>
          <w:tcPr>
            <w:tcW w:w="1843" w:type="dxa"/>
            <w:tcBorders>
              <w:bottom w:val="single" w:sz="4" w:space="0" w:color="auto"/>
            </w:tcBorders>
          </w:tcPr>
          <w:p w:rsidR="00E21C31" w:rsidRDefault="00470D76" w:rsidP="00E21C31">
            <w:pPr>
              <w:pStyle w:val="RefGrundtext"/>
              <w:spacing w:line="240" w:lineRule="auto"/>
              <w:rPr>
                <w:sz w:val="16"/>
                <w:szCs w:val="16"/>
              </w:rPr>
            </w:pPr>
            <w:r>
              <w:rPr>
                <w:sz w:val="16"/>
              </w:rPr>
              <w:t xml:space="preserve">Auparavant </w:t>
            </w:r>
          </w:p>
          <w:p w:rsidR="00470D76" w:rsidRPr="005F5E10" w:rsidRDefault="0063375A" w:rsidP="00E21C31">
            <w:pPr>
              <w:pStyle w:val="RefGrundtext"/>
              <w:spacing w:line="240" w:lineRule="auto"/>
              <w:rPr>
                <w:sz w:val="16"/>
                <w:szCs w:val="16"/>
              </w:rPr>
            </w:pPr>
            <w:r>
              <w:rPr>
                <w:sz w:val="16"/>
              </w:rPr>
              <w:t>Détermination de la contribution sur les revenus antérieurs, de 2 ans</w:t>
            </w:r>
          </w:p>
        </w:tc>
        <w:tc>
          <w:tcPr>
            <w:tcW w:w="2126" w:type="dxa"/>
            <w:tcBorders>
              <w:bottom w:val="single" w:sz="4" w:space="0" w:color="auto"/>
            </w:tcBorders>
          </w:tcPr>
          <w:p w:rsidR="00470D76" w:rsidRDefault="00470D76" w:rsidP="00E21C31">
            <w:pPr>
              <w:pStyle w:val="RefGrundtext"/>
              <w:spacing w:line="240" w:lineRule="auto"/>
              <w:rPr>
                <w:sz w:val="16"/>
                <w:szCs w:val="16"/>
              </w:rPr>
            </w:pPr>
            <w:r>
              <w:rPr>
                <w:sz w:val="16"/>
              </w:rPr>
              <w:t>Année de détermination du rendement de l’impôt pour le calcul de la contribution 2023</w:t>
            </w:r>
          </w:p>
          <w:p w:rsidR="0063375A" w:rsidRPr="005F5E10" w:rsidRDefault="0063375A" w:rsidP="00E21C31">
            <w:pPr>
              <w:pStyle w:val="RefGrundtext"/>
              <w:spacing w:line="240" w:lineRule="auto"/>
              <w:rPr>
                <w:sz w:val="16"/>
                <w:szCs w:val="16"/>
              </w:rPr>
            </w:pPr>
          </w:p>
        </w:tc>
        <w:tc>
          <w:tcPr>
            <w:tcW w:w="2552" w:type="dxa"/>
            <w:tcBorders>
              <w:bottom w:val="single" w:sz="4" w:space="0" w:color="auto"/>
            </w:tcBorders>
            <w:shd w:val="thinDiagCross" w:color="D9D9D9" w:themeColor="background1" w:themeShade="D9" w:fill="FFFFFF" w:themeFill="background1"/>
          </w:tcPr>
          <w:p w:rsidR="00470D76" w:rsidRPr="00DD2DA6" w:rsidRDefault="00EA68F0" w:rsidP="00E21C31">
            <w:pPr>
              <w:pStyle w:val="RefGrundtext"/>
              <w:spacing w:line="240" w:lineRule="auto"/>
              <w:rPr>
                <w:sz w:val="16"/>
                <w:szCs w:val="16"/>
              </w:rPr>
            </w:pPr>
            <w:r>
              <w:rPr>
                <w:sz w:val="16"/>
              </w:rPr>
              <w:t>Année intermédiaire</w:t>
            </w:r>
          </w:p>
        </w:tc>
        <w:tc>
          <w:tcPr>
            <w:tcW w:w="2410" w:type="dxa"/>
            <w:tcBorders>
              <w:bottom w:val="single" w:sz="4" w:space="0" w:color="auto"/>
            </w:tcBorders>
          </w:tcPr>
          <w:p w:rsidR="00470D76" w:rsidRPr="005F5E10" w:rsidRDefault="00470D76" w:rsidP="00E21C31">
            <w:pPr>
              <w:pStyle w:val="RefGrundtext"/>
              <w:spacing w:line="240" w:lineRule="auto"/>
              <w:rPr>
                <w:sz w:val="16"/>
                <w:szCs w:val="16"/>
              </w:rPr>
            </w:pPr>
            <w:r>
              <w:rPr>
                <w:sz w:val="16"/>
              </w:rPr>
              <w:t xml:space="preserve">Facturation des contributions sur  la base du rendement de l’impôt 2021 </w:t>
            </w:r>
          </w:p>
        </w:tc>
      </w:tr>
      <w:tr w:rsidR="000D0FFE" w:rsidRPr="005F5E10" w:rsidTr="00C956FE">
        <w:trPr>
          <w:trHeight w:hRule="exact" w:val="248"/>
        </w:trPr>
        <w:tc>
          <w:tcPr>
            <w:tcW w:w="1843" w:type="dxa"/>
            <w:tcBorders>
              <w:bottom w:val="single" w:sz="4" w:space="0" w:color="auto"/>
              <w:right w:val="nil"/>
            </w:tcBorders>
            <w:shd w:val="clear" w:color="auto" w:fill="F2F2F2" w:themeFill="background1" w:themeFillShade="F2"/>
            <w:vAlign w:val="center"/>
          </w:tcPr>
          <w:p w:rsidR="000D0FFE" w:rsidRPr="005F5E10" w:rsidRDefault="000D0FFE" w:rsidP="00E21C31">
            <w:pPr>
              <w:pStyle w:val="RefGrundtext"/>
              <w:spacing w:line="240" w:lineRule="auto"/>
              <w:rPr>
                <w:sz w:val="16"/>
                <w:szCs w:val="16"/>
              </w:rPr>
            </w:pPr>
            <w:r>
              <w:rPr>
                <w:b/>
                <w:sz w:val="16"/>
              </w:rPr>
              <w:t> Nouveau</w:t>
            </w:r>
          </w:p>
        </w:tc>
        <w:tc>
          <w:tcPr>
            <w:tcW w:w="2126" w:type="dxa"/>
            <w:tcBorders>
              <w:left w:val="nil"/>
              <w:bottom w:val="single" w:sz="4" w:space="0" w:color="auto"/>
              <w:right w:val="nil"/>
            </w:tcBorders>
            <w:shd w:val="clear" w:color="auto" w:fill="F2F2F2" w:themeFill="background1" w:themeFillShade="F2"/>
            <w:vAlign w:val="center"/>
          </w:tcPr>
          <w:p w:rsidR="000D0FFE" w:rsidRPr="005F5E10" w:rsidRDefault="000D0FFE" w:rsidP="00E21C31">
            <w:pPr>
              <w:pStyle w:val="RefGrundtext"/>
              <w:spacing w:line="240" w:lineRule="auto"/>
              <w:rPr>
                <w:sz w:val="16"/>
                <w:szCs w:val="16"/>
              </w:rPr>
            </w:pPr>
          </w:p>
        </w:tc>
        <w:tc>
          <w:tcPr>
            <w:tcW w:w="2552" w:type="dxa"/>
            <w:tcBorders>
              <w:left w:val="nil"/>
              <w:bottom w:val="single" w:sz="4" w:space="0" w:color="auto"/>
              <w:right w:val="nil"/>
            </w:tcBorders>
            <w:shd w:val="clear" w:color="auto" w:fill="F2F2F2" w:themeFill="background1" w:themeFillShade="F2"/>
            <w:vAlign w:val="center"/>
          </w:tcPr>
          <w:p w:rsidR="000D0FFE" w:rsidRDefault="000D0FFE" w:rsidP="00E21C31">
            <w:pPr>
              <w:pStyle w:val="RefGrundtext"/>
              <w:spacing w:line="240" w:lineRule="auto"/>
              <w:rPr>
                <w:sz w:val="16"/>
                <w:szCs w:val="16"/>
              </w:rPr>
            </w:pPr>
          </w:p>
        </w:tc>
        <w:tc>
          <w:tcPr>
            <w:tcW w:w="2410" w:type="dxa"/>
            <w:tcBorders>
              <w:left w:val="nil"/>
              <w:bottom w:val="single" w:sz="4" w:space="0" w:color="auto"/>
            </w:tcBorders>
            <w:shd w:val="clear" w:color="auto" w:fill="F2F2F2" w:themeFill="background1" w:themeFillShade="F2"/>
            <w:vAlign w:val="center"/>
          </w:tcPr>
          <w:p w:rsidR="000D0FFE" w:rsidRPr="005F5E10" w:rsidRDefault="000D0FFE" w:rsidP="00E21C31">
            <w:pPr>
              <w:pStyle w:val="RefGrundtext"/>
              <w:spacing w:line="240" w:lineRule="auto"/>
              <w:rPr>
                <w:sz w:val="16"/>
                <w:szCs w:val="16"/>
              </w:rPr>
            </w:pPr>
          </w:p>
        </w:tc>
      </w:tr>
      <w:tr w:rsidR="00470D76" w:rsidRPr="005F5E10" w:rsidTr="000D0FFE">
        <w:trPr>
          <w:trHeight w:hRule="exact" w:val="1271"/>
        </w:trPr>
        <w:tc>
          <w:tcPr>
            <w:tcW w:w="1843" w:type="dxa"/>
            <w:tcBorders>
              <w:bottom w:val="nil"/>
            </w:tcBorders>
          </w:tcPr>
          <w:p w:rsidR="00E21C31" w:rsidRPr="000D0FFE" w:rsidRDefault="00452A73" w:rsidP="00E21C31">
            <w:pPr>
              <w:pStyle w:val="RefGrundtext"/>
              <w:spacing w:line="240" w:lineRule="auto"/>
              <w:rPr>
                <w:sz w:val="16"/>
                <w:szCs w:val="16"/>
              </w:rPr>
            </w:pPr>
            <w:r>
              <w:rPr>
                <w:sz w:val="16"/>
              </w:rPr>
              <w:t xml:space="preserve">Contributions à Union synodale </w:t>
            </w:r>
          </w:p>
          <w:p w:rsidR="002158EF" w:rsidRPr="000D0FFE" w:rsidRDefault="002158EF" w:rsidP="00E21C31">
            <w:pPr>
              <w:pStyle w:val="RefGrundtext"/>
              <w:spacing w:line="240" w:lineRule="auto"/>
              <w:rPr>
                <w:sz w:val="16"/>
                <w:szCs w:val="16"/>
              </w:rPr>
            </w:pPr>
          </w:p>
          <w:p w:rsidR="00470D76" w:rsidRPr="005F5E10" w:rsidRDefault="0063375A" w:rsidP="00E21C31">
            <w:pPr>
              <w:pStyle w:val="RefGrundtext"/>
              <w:spacing w:line="240" w:lineRule="auto"/>
              <w:rPr>
                <w:sz w:val="16"/>
                <w:szCs w:val="16"/>
              </w:rPr>
            </w:pPr>
            <w:r>
              <w:rPr>
                <w:sz w:val="16"/>
              </w:rPr>
              <w:t>Détermination sur le revenu acquis</w:t>
            </w:r>
          </w:p>
        </w:tc>
        <w:tc>
          <w:tcPr>
            <w:tcW w:w="2126" w:type="dxa"/>
            <w:tcBorders>
              <w:bottom w:val="nil"/>
            </w:tcBorders>
            <w:shd w:val="clear" w:color="auto" w:fill="FFFFFF" w:themeFill="background1"/>
          </w:tcPr>
          <w:p w:rsidR="00470D76" w:rsidRPr="005F5E10" w:rsidRDefault="00452A73" w:rsidP="00E21C31">
            <w:pPr>
              <w:pStyle w:val="RefGrundtext"/>
              <w:spacing w:line="240" w:lineRule="auto"/>
              <w:rPr>
                <w:sz w:val="16"/>
                <w:szCs w:val="16"/>
              </w:rPr>
            </w:pPr>
            <w:r>
              <w:rPr>
                <w:sz w:val="16"/>
              </w:rPr>
              <w:t>Année de détermination sur la base du rendement de l’impôt paroissial pour le calcul des acomptes 20</w:t>
            </w:r>
            <w:r w:rsidR="00C35A22">
              <w:rPr>
                <w:sz w:val="16"/>
              </w:rPr>
              <w:t>2</w:t>
            </w:r>
            <w:r>
              <w:rPr>
                <w:sz w:val="16"/>
              </w:rPr>
              <w:t>2</w:t>
            </w:r>
          </w:p>
        </w:tc>
        <w:tc>
          <w:tcPr>
            <w:tcW w:w="2552" w:type="dxa"/>
            <w:tcBorders>
              <w:bottom w:val="nil"/>
            </w:tcBorders>
          </w:tcPr>
          <w:p w:rsidR="00452A73" w:rsidRDefault="00452A73" w:rsidP="00E21C31">
            <w:pPr>
              <w:pStyle w:val="RefGrundtext"/>
              <w:spacing w:line="240" w:lineRule="auto"/>
              <w:rPr>
                <w:sz w:val="16"/>
                <w:szCs w:val="16"/>
              </w:rPr>
            </w:pPr>
            <w:r>
              <w:rPr>
                <w:sz w:val="16"/>
              </w:rPr>
              <w:t>Versement des acomptes pour l’année de contribution 2022 sur la base du revenu de l’impôt de l’année 2021</w:t>
            </w:r>
          </w:p>
          <w:p w:rsidR="00452A73" w:rsidRPr="005F5E10" w:rsidRDefault="00452A73" w:rsidP="00E21C31">
            <w:pPr>
              <w:pStyle w:val="RefGrundtext"/>
              <w:spacing w:line="240" w:lineRule="auto"/>
              <w:rPr>
                <w:sz w:val="16"/>
                <w:szCs w:val="16"/>
              </w:rPr>
            </w:pPr>
          </w:p>
        </w:tc>
        <w:tc>
          <w:tcPr>
            <w:tcW w:w="2410" w:type="dxa"/>
            <w:tcBorders>
              <w:bottom w:val="nil"/>
            </w:tcBorders>
          </w:tcPr>
          <w:p w:rsidR="0063375A" w:rsidRDefault="0063375A" w:rsidP="00E21C31">
            <w:pPr>
              <w:pStyle w:val="RefGrundtext"/>
              <w:spacing w:line="240" w:lineRule="auto"/>
              <w:rPr>
                <w:sz w:val="16"/>
                <w:szCs w:val="16"/>
              </w:rPr>
            </w:pPr>
            <w:r>
              <w:rPr>
                <w:sz w:val="16"/>
              </w:rPr>
              <w:t>Décompte des acomptes 2022 sur la base du rendement de l’impôt 2022 et remboursements</w:t>
            </w:r>
            <w:r w:rsidR="00C35A22">
              <w:rPr>
                <w:sz w:val="16"/>
              </w:rPr>
              <w:t xml:space="preserve"> du </w:t>
            </w:r>
            <w:proofErr w:type="spellStart"/>
            <w:r w:rsidR="00C35A22">
              <w:rPr>
                <w:sz w:val="16"/>
              </w:rPr>
              <w:t>trop perçu</w:t>
            </w:r>
            <w:proofErr w:type="spellEnd"/>
            <w:r>
              <w:rPr>
                <w:sz w:val="16"/>
              </w:rPr>
              <w:t xml:space="preserve"> resp. facturation des suppléments  en faveur de Refbejuso.</w:t>
            </w:r>
          </w:p>
          <w:p w:rsidR="0063375A" w:rsidRDefault="0063375A" w:rsidP="00E21C31">
            <w:pPr>
              <w:pStyle w:val="RefGrundtext"/>
              <w:spacing w:line="240" w:lineRule="auto"/>
              <w:rPr>
                <w:sz w:val="16"/>
                <w:szCs w:val="16"/>
              </w:rPr>
            </w:pPr>
          </w:p>
          <w:p w:rsidR="00470D76" w:rsidRPr="005F5E10" w:rsidRDefault="00470D76" w:rsidP="00E21C31">
            <w:pPr>
              <w:pStyle w:val="RefGrundtext"/>
              <w:spacing w:line="240" w:lineRule="auto"/>
              <w:rPr>
                <w:sz w:val="16"/>
                <w:szCs w:val="16"/>
              </w:rPr>
            </w:pPr>
          </w:p>
        </w:tc>
      </w:tr>
      <w:tr w:rsidR="00E21C31" w:rsidRPr="005F5E10" w:rsidTr="000D0FFE">
        <w:trPr>
          <w:trHeight w:hRule="exact" w:val="995"/>
        </w:trPr>
        <w:tc>
          <w:tcPr>
            <w:tcW w:w="1843" w:type="dxa"/>
            <w:tcBorders>
              <w:top w:val="nil"/>
            </w:tcBorders>
          </w:tcPr>
          <w:p w:rsidR="00E21C31" w:rsidRDefault="00E21C31" w:rsidP="00E21C31">
            <w:pPr>
              <w:pStyle w:val="RefGrundtext"/>
              <w:spacing w:line="240" w:lineRule="auto"/>
              <w:rPr>
                <w:sz w:val="16"/>
                <w:szCs w:val="16"/>
              </w:rPr>
            </w:pPr>
          </w:p>
        </w:tc>
        <w:tc>
          <w:tcPr>
            <w:tcW w:w="2126" w:type="dxa"/>
            <w:tcBorders>
              <w:top w:val="nil"/>
              <w:bottom w:val="single" w:sz="4" w:space="0" w:color="auto"/>
            </w:tcBorders>
            <w:shd w:val="clear" w:color="auto" w:fill="FFFFFF" w:themeFill="background1"/>
          </w:tcPr>
          <w:p w:rsidR="00E21C31" w:rsidRPr="005F5E10" w:rsidRDefault="00E21C31" w:rsidP="00E21C31">
            <w:pPr>
              <w:pStyle w:val="RefGrundtext"/>
              <w:spacing w:line="240" w:lineRule="auto"/>
              <w:rPr>
                <w:sz w:val="16"/>
                <w:szCs w:val="16"/>
              </w:rPr>
            </w:pPr>
          </w:p>
        </w:tc>
        <w:tc>
          <w:tcPr>
            <w:tcW w:w="2552" w:type="dxa"/>
            <w:tcBorders>
              <w:top w:val="nil"/>
            </w:tcBorders>
          </w:tcPr>
          <w:p w:rsidR="00E21C31" w:rsidRDefault="00E21C31" w:rsidP="00E21C31">
            <w:pPr>
              <w:pStyle w:val="RefGrundtext"/>
              <w:spacing w:line="240" w:lineRule="auto"/>
              <w:rPr>
                <w:sz w:val="16"/>
                <w:szCs w:val="16"/>
              </w:rPr>
            </w:pPr>
            <w:r>
              <w:rPr>
                <w:sz w:val="16"/>
              </w:rPr>
              <w:t xml:space="preserve">Année de détermination de la contribution effective 2022 sur la base du rendement de l’impôt  paroissial </w:t>
            </w:r>
            <w:r w:rsidR="00C35A22">
              <w:rPr>
                <w:sz w:val="16"/>
              </w:rPr>
              <w:t xml:space="preserve">ainsi que </w:t>
            </w:r>
            <w:r>
              <w:rPr>
                <w:sz w:val="16"/>
              </w:rPr>
              <w:t>pour le calcul des acomptes 2023.</w:t>
            </w:r>
          </w:p>
        </w:tc>
        <w:tc>
          <w:tcPr>
            <w:tcW w:w="2410" w:type="dxa"/>
            <w:tcBorders>
              <w:top w:val="nil"/>
            </w:tcBorders>
          </w:tcPr>
          <w:p w:rsidR="00E21C31" w:rsidRDefault="00E21C31" w:rsidP="00E21C31">
            <w:pPr>
              <w:pStyle w:val="RefGrundtext"/>
              <w:spacing w:line="240" w:lineRule="auto"/>
              <w:rPr>
                <w:sz w:val="16"/>
                <w:szCs w:val="16"/>
              </w:rPr>
            </w:pPr>
            <w:r>
              <w:rPr>
                <w:sz w:val="16"/>
              </w:rPr>
              <w:t>Versement des acomptes pour l’année de contribution 2023 sur la base du revenu de l’impôt de l’année 2022</w:t>
            </w:r>
          </w:p>
        </w:tc>
      </w:tr>
      <w:tr w:rsidR="002158EF" w:rsidRPr="005F5E10" w:rsidTr="0008609F">
        <w:trPr>
          <w:trHeight w:hRule="exact" w:val="1813"/>
        </w:trPr>
        <w:tc>
          <w:tcPr>
            <w:tcW w:w="1843" w:type="dxa"/>
          </w:tcPr>
          <w:p w:rsidR="002158EF" w:rsidRPr="000D0FFE" w:rsidRDefault="002158EF" w:rsidP="002158EF">
            <w:pPr>
              <w:pStyle w:val="RefGrundtext"/>
              <w:spacing w:line="240" w:lineRule="auto"/>
              <w:rPr>
                <w:sz w:val="16"/>
                <w:szCs w:val="16"/>
              </w:rPr>
            </w:pPr>
            <w:r>
              <w:rPr>
                <w:sz w:val="16"/>
              </w:rPr>
              <w:t>Nouveau: contributions au titre de la péréquation financière</w:t>
            </w:r>
          </w:p>
          <w:p w:rsidR="002158EF" w:rsidRPr="000D0FFE" w:rsidRDefault="002158EF" w:rsidP="002158EF">
            <w:pPr>
              <w:pStyle w:val="RefGrundtext"/>
              <w:spacing w:line="240" w:lineRule="auto"/>
              <w:rPr>
                <w:sz w:val="16"/>
                <w:szCs w:val="16"/>
              </w:rPr>
            </w:pPr>
          </w:p>
          <w:p w:rsidR="002158EF" w:rsidRPr="00452A73" w:rsidRDefault="002158EF" w:rsidP="002158EF">
            <w:pPr>
              <w:pStyle w:val="RefGrundtext"/>
              <w:spacing w:line="240" w:lineRule="auto"/>
              <w:rPr>
                <w:b/>
                <w:sz w:val="16"/>
                <w:szCs w:val="16"/>
              </w:rPr>
            </w:pPr>
            <w:r>
              <w:rPr>
                <w:sz w:val="16"/>
              </w:rPr>
              <w:t>Détermination de la contribution sur le revenu acquis: une année</w:t>
            </w:r>
          </w:p>
        </w:tc>
        <w:tc>
          <w:tcPr>
            <w:tcW w:w="2126" w:type="dxa"/>
            <w:shd w:val="thinDiagCross" w:color="auto" w:fill="FFFFFF" w:themeFill="background1"/>
          </w:tcPr>
          <w:p w:rsidR="002158EF" w:rsidRPr="005F5E10" w:rsidRDefault="002158EF" w:rsidP="002158EF">
            <w:pPr>
              <w:pStyle w:val="RefGrundtext"/>
              <w:spacing w:line="240" w:lineRule="auto"/>
              <w:rPr>
                <w:sz w:val="16"/>
                <w:szCs w:val="16"/>
              </w:rPr>
            </w:pPr>
          </w:p>
        </w:tc>
        <w:tc>
          <w:tcPr>
            <w:tcW w:w="2552" w:type="dxa"/>
          </w:tcPr>
          <w:p w:rsidR="002158EF" w:rsidRDefault="002158EF" w:rsidP="002158EF">
            <w:pPr>
              <w:pStyle w:val="RefGrundtext"/>
              <w:spacing w:line="240" w:lineRule="auto"/>
              <w:rPr>
                <w:sz w:val="16"/>
                <w:szCs w:val="16"/>
              </w:rPr>
            </w:pPr>
            <w:r>
              <w:rPr>
                <w:sz w:val="16"/>
              </w:rPr>
              <w:t xml:space="preserve">Année de détermination du rendement de l’impôt </w:t>
            </w:r>
            <w:r w:rsidR="00C35A22">
              <w:rPr>
                <w:sz w:val="16"/>
              </w:rPr>
              <w:t xml:space="preserve">paroissial </w:t>
            </w:r>
            <w:r>
              <w:rPr>
                <w:sz w:val="16"/>
              </w:rPr>
              <w:t>pour le calcul de la contribution 2023</w:t>
            </w:r>
          </w:p>
          <w:p w:rsidR="002158EF" w:rsidRPr="005F5E10" w:rsidRDefault="002158EF" w:rsidP="002158EF">
            <w:pPr>
              <w:pStyle w:val="RefGrundtext"/>
              <w:spacing w:line="240" w:lineRule="auto"/>
              <w:rPr>
                <w:sz w:val="16"/>
                <w:szCs w:val="16"/>
              </w:rPr>
            </w:pPr>
          </w:p>
        </w:tc>
        <w:tc>
          <w:tcPr>
            <w:tcW w:w="2410" w:type="dxa"/>
          </w:tcPr>
          <w:p w:rsidR="002158EF" w:rsidRPr="005F5E10" w:rsidRDefault="002158EF" w:rsidP="002158EF">
            <w:pPr>
              <w:pStyle w:val="RefGrundtext"/>
              <w:spacing w:line="240" w:lineRule="auto"/>
              <w:rPr>
                <w:sz w:val="16"/>
                <w:szCs w:val="16"/>
              </w:rPr>
            </w:pPr>
            <w:r>
              <w:rPr>
                <w:sz w:val="16"/>
              </w:rPr>
              <w:t xml:space="preserve">Facturation des contributions au titre de la péréquation financière et calcul des contributions au titre de la péréquation financière sur la base du rendement de l’impôt 2022. </w:t>
            </w:r>
          </w:p>
        </w:tc>
      </w:tr>
    </w:tbl>
    <w:p w:rsidR="00470D76" w:rsidRDefault="00470D76" w:rsidP="00F000F5"/>
    <w:p w:rsidR="002F405E" w:rsidRDefault="002F405E" w:rsidP="00F000F5"/>
    <w:p w:rsidR="004B2EFF" w:rsidRPr="002F405E" w:rsidRDefault="00E6604D" w:rsidP="002F405E">
      <w:pPr>
        <w:pStyle w:val="Listenabsatz"/>
      </w:pPr>
      <w:bookmarkStart w:id="2" w:name="_Toc63079665"/>
      <w:r>
        <w:t>Répercussions sur les Eglises réformées Berne-Jura-Soleure</w:t>
      </w:r>
      <w:bookmarkEnd w:id="2"/>
    </w:p>
    <w:p w:rsidR="004B2EFF" w:rsidRPr="00182A2F" w:rsidRDefault="004B2EFF" w:rsidP="00182A2F">
      <w:pPr>
        <w:pStyle w:val="berschrift2"/>
      </w:pPr>
      <w:bookmarkStart w:id="3" w:name="_Toc63079666"/>
      <w:r>
        <w:t>Réalisation technique</w:t>
      </w:r>
      <w:bookmarkEnd w:id="3"/>
    </w:p>
    <w:p w:rsidR="004B2EFF" w:rsidRDefault="00E6604D" w:rsidP="00E6604D">
      <w:r>
        <w:t>Un changement de système est techniquement possible à partir du 1</w:t>
      </w:r>
      <w:r>
        <w:rPr>
          <w:vertAlign w:val="superscript"/>
        </w:rPr>
        <w:t>er</w:t>
      </w:r>
      <w:r>
        <w:t xml:space="preserve"> janvier 2022. Une détermination de la contribution sur la base du revenu acquis n'est possible que pour les contributions paroissiales à l’Union synodale. En </w:t>
      </w:r>
      <w:r w:rsidR="0008609F">
        <w:t xml:space="preserve">ce </w:t>
      </w:r>
      <w:r>
        <w:t>qui concerne les contributions au titre de la péréquation financière, un passage au système de la détermination de la contribution selon le revenu acquis n’est pas applicable; on peut néanmoins renoncer à l’«année intermédiaire». Les contributions au titre de la péréquation financière s’élèvent à CHF 2,9 millions. Pour les paroisses, les implications d’un changement de système sont de ce fait sensiblement moindres que celles concernant les contributions à l’Union synodale lesquelles s’élèvent, elles, à CHF 24 millions</w:t>
      </w:r>
      <w:r w:rsidR="0008609F">
        <w:t>.</w:t>
      </w:r>
    </w:p>
    <w:p w:rsidR="00AD33EE" w:rsidRPr="00E6604D" w:rsidRDefault="00AD33EE" w:rsidP="00E6604D">
      <w:pPr>
        <w:rPr>
          <w:b/>
        </w:rPr>
      </w:pPr>
    </w:p>
    <w:p w:rsidR="00E6604D" w:rsidRPr="00F26B91" w:rsidRDefault="00E6604D" w:rsidP="00182A2F">
      <w:pPr>
        <w:pStyle w:val="berschrift2"/>
      </w:pPr>
      <w:bookmarkStart w:id="4" w:name="_Toc63079667"/>
      <w:r>
        <w:t>Charge en ressources humaines</w:t>
      </w:r>
      <w:bookmarkEnd w:id="4"/>
    </w:p>
    <w:p w:rsidR="00E6604D" w:rsidRDefault="00E6604D" w:rsidP="00E6604D">
      <w:bookmarkStart w:id="5" w:name="_Hlk58588948"/>
      <w:r>
        <w:t>Le changement de système entraîne d’une part un léger allègement de la tâche, puisque les communications aux paroisses relatives au budget n’ont plus lieu d’être</w:t>
      </w:r>
      <w:r w:rsidR="0008609F">
        <w:t>, et d’autre part</w:t>
      </w:r>
      <w:r>
        <w:t xml:space="preserve"> un alourdissement non négligeable de cette même tâche puisque les acomptes pour les contributions à l’Union synodale doivent être calculés en fonction du rendement effectif de l’impôt. Les simplifications administratives apportées par le règlement sur la péréquation financière entre les paroisses réformées évangéliques du canton de Berne</w:t>
      </w:r>
      <w:r w:rsidR="0008609F">
        <w:t>,</w:t>
      </w:r>
      <w:r>
        <w:t xml:space="preserve"> approuvé lors du Synode d’hiver 2019</w:t>
      </w:r>
      <w:r w:rsidR="0008609F">
        <w:t>,</w:t>
      </w:r>
      <w:r>
        <w:t xml:space="preserve"> se traduisai</w:t>
      </w:r>
      <w:r w:rsidR="0008609F">
        <w:t>en</w:t>
      </w:r>
      <w:r>
        <w:t>t déjà par un certain soulagement, ce qui permet d’absorber le surcroît de tâches impliqué par le changement de pratique.</w:t>
      </w:r>
    </w:p>
    <w:bookmarkEnd w:id="5"/>
    <w:p w:rsidR="00E6604D" w:rsidRDefault="00E6604D" w:rsidP="002F405E">
      <w:pPr>
        <w:pStyle w:val="Listenabsatz"/>
        <w:numPr>
          <w:ilvl w:val="0"/>
          <w:numId w:val="0"/>
        </w:numPr>
        <w:ind w:left="601"/>
      </w:pPr>
    </w:p>
    <w:p w:rsidR="00E6604D" w:rsidRPr="00F26B91" w:rsidRDefault="00E6604D" w:rsidP="00182A2F">
      <w:pPr>
        <w:pStyle w:val="berschrift2"/>
      </w:pPr>
      <w:bookmarkStart w:id="6" w:name="_Toc63079668"/>
      <w:r>
        <w:t>Implications financières</w:t>
      </w:r>
      <w:bookmarkEnd w:id="6"/>
    </w:p>
    <w:p w:rsidR="009E3168" w:rsidRDefault="00120964" w:rsidP="00E6604D">
      <w:r>
        <w:rPr>
          <w:i/>
          <w:u w:val="single"/>
        </w:rPr>
        <w:t>Contributions à l’Union synodale :</w:t>
      </w:r>
      <w:r>
        <w:t xml:space="preserve"> </w:t>
      </w:r>
      <w:r w:rsidR="0008609F">
        <w:t>u</w:t>
      </w:r>
      <w:r>
        <w:t xml:space="preserve">n changement de système ne sera effectif que pour l’année comptable 2022. En partie aussi consécutivement à la pandémie de coronavirus, les Eglises réformées Berne-Jura-Soleure estiment que la perte sur les recettes fiscales inhérente au changement de système se chiffrera à environ CHF 860’000. Les années fiscales 2020 et 2021 en tant qu’années de détermination des contributions seraient avec le changement de système des «années 0». Par rapport à 2019, le plan financier prévoit pour l’année fiscale 2020 une augmentation de </w:t>
      </w:r>
      <w:r w:rsidR="0008609F">
        <w:t xml:space="preserve">CHF </w:t>
      </w:r>
      <w:r>
        <w:t>450’000 des contributions; en revanche pour l’année 2021 - au cours de laquelle la pandémie fera pleinement sentir son impact - le pronostic porte sur une diminution des contributions de l’ordre de CHF 1,5 million par rapport à 2019.  Au final, la différence entre le total des pertes de contributions pour les «années 0» 2020 et 2021 de près de 1 million CHF et celles résultant du changement de système en 2022 de près de 860’000 CHF se solde par une perte de recettes de près de 140’000 CHF par rapport à 2019.  Les implications financières pour les Eglises réformées Berne-Jura-Soleure peuvent donc être qualifiées de «surmontables». Contrai</w:t>
      </w:r>
      <w:r w:rsidR="0008609F">
        <w:t>r</w:t>
      </w:r>
      <w:r>
        <w:t xml:space="preserve">ement à l’ancien, le nouveau système ne permettra plus de budgétiser les redevances effectives des paroisses.  D’une manière analogue au plan financier, les contributions paroissiales feront l’objet d’une estimation.  </w:t>
      </w:r>
    </w:p>
    <w:p w:rsidR="009E3168" w:rsidRDefault="009E3168" w:rsidP="009E3168">
      <w:r>
        <w:rPr>
          <w:i/>
          <w:u w:val="single"/>
        </w:rPr>
        <w:lastRenderedPageBreak/>
        <w:t>Contribution au titre de la péréquation financière</w:t>
      </w:r>
      <w:r>
        <w:t xml:space="preserve"> Pour les Eglises réformées Berne-Jura-Soleure, un changement de système n’a pas d’implications sur le budget puisque l’Eglise cantonale n’est pas partie prenant de la compensation financière.</w:t>
      </w:r>
    </w:p>
    <w:p w:rsidR="009E3168" w:rsidRPr="009E3168" w:rsidRDefault="009E3168" w:rsidP="00E6604D">
      <w:pPr>
        <w:rPr>
          <w:u w:val="single"/>
        </w:rPr>
      </w:pPr>
    </w:p>
    <w:p w:rsidR="004B2EFF" w:rsidRPr="009E3168" w:rsidRDefault="009E3168" w:rsidP="00182A2F">
      <w:pPr>
        <w:pStyle w:val="berschrift2"/>
      </w:pPr>
      <w:bookmarkStart w:id="7" w:name="_Toc63079669"/>
      <w:r>
        <w:t>Conclusion</w:t>
      </w:r>
      <w:bookmarkEnd w:id="7"/>
    </w:p>
    <w:p w:rsidR="00D24D9D" w:rsidRDefault="00D24D9D" w:rsidP="00F000F5">
      <w:r>
        <w:t>Les Eglises réformées Berne-Jura-Soleure estiment que le changement de système est techniquement possible. Le changement peut être géré par le personnel actuel et est financièrement supportable.</w:t>
      </w:r>
    </w:p>
    <w:p w:rsidR="009E3168" w:rsidRDefault="009E3168" w:rsidP="00F000F5"/>
    <w:p w:rsidR="009E3168" w:rsidRDefault="009E3168" w:rsidP="00F000F5"/>
    <w:p w:rsidR="001F5D98" w:rsidRDefault="001F5D98" w:rsidP="002F405E">
      <w:pPr>
        <w:pStyle w:val="Listenabsatz"/>
      </w:pPr>
      <w:bookmarkStart w:id="8" w:name="_Toc63079670"/>
      <w:r>
        <w:t>Implications sur les paroisses du canton de Berne</w:t>
      </w:r>
      <w:bookmarkEnd w:id="8"/>
    </w:p>
    <w:p w:rsidR="00524131" w:rsidRPr="00524131" w:rsidRDefault="00524131" w:rsidP="00524131">
      <w:pPr>
        <w:pStyle w:val="Listenabsatz"/>
        <w:numPr>
          <w:ilvl w:val="0"/>
          <w:numId w:val="30"/>
        </w:numPr>
        <w:tabs>
          <w:tab w:val="left" w:pos="567"/>
        </w:tabs>
        <w:spacing w:before="40" w:after="0" w:line="259" w:lineRule="auto"/>
        <w:rPr>
          <w:rFonts w:eastAsiaTheme="majorEastAsia" w:cstheme="majorBidi"/>
          <w:b w:val="0"/>
          <w:vanish/>
        </w:rPr>
      </w:pPr>
      <w:bookmarkStart w:id="9" w:name="_Toc58673238"/>
      <w:bookmarkStart w:id="10" w:name="_Toc58674620"/>
      <w:bookmarkStart w:id="11" w:name="_Toc58674833"/>
      <w:bookmarkStart w:id="12" w:name="_Toc58675459"/>
      <w:bookmarkStart w:id="13" w:name="_Toc63079671"/>
      <w:bookmarkEnd w:id="9"/>
      <w:bookmarkEnd w:id="10"/>
      <w:bookmarkEnd w:id="11"/>
      <w:bookmarkEnd w:id="12"/>
      <w:bookmarkEnd w:id="13"/>
    </w:p>
    <w:p w:rsidR="001F5D98" w:rsidRDefault="001F5D98" w:rsidP="00524131">
      <w:pPr>
        <w:pStyle w:val="berschrift2"/>
      </w:pPr>
      <w:bookmarkStart w:id="14" w:name="_Toc63079672"/>
      <w:r>
        <w:t>Réalisation technique</w:t>
      </w:r>
      <w:bookmarkEnd w:id="14"/>
    </w:p>
    <w:p w:rsidR="00890FF8" w:rsidRDefault="001F5D98" w:rsidP="001F5D98">
      <w:r>
        <w:t xml:space="preserve">Le changement de système induit que les Eglises réformées Berne-Jura-Soleure ne seront plus en mesure d’informer </w:t>
      </w:r>
      <w:r w:rsidR="0008609F">
        <w:t xml:space="preserve">les paroisses </w:t>
      </w:r>
      <w:r>
        <w:t xml:space="preserve">en préalable au processus budgétaire </w:t>
      </w:r>
      <w:r w:rsidR="00AB6BFC">
        <w:t xml:space="preserve">quant au </w:t>
      </w:r>
      <w:r>
        <w:t>montant de leurs contributions à l’Union synodale. Ces dernières devront les calculer elles-mêmes. Elles le peuvent relativement aisément et avec précision sur la base du rendement fiscal qu’elles auront budg</w:t>
      </w:r>
      <w:r w:rsidR="0008609F">
        <w:t>é</w:t>
      </w:r>
      <w:r>
        <w:t>té. En ce qui concerne la budgétisation des contributions resp. des subventions au titre de la péréquation financière, les paroisses devront procéder à des estimations empiriques.</w:t>
      </w:r>
    </w:p>
    <w:p w:rsidR="00890FF8" w:rsidRDefault="00DB4FE5" w:rsidP="00F000F5">
      <w:r>
        <w:t>Pour</w:t>
      </w:r>
      <w:r w:rsidR="00890FF8">
        <w:t xml:space="preserve"> les contributions à l’Union synodale, les paroisses devront</w:t>
      </w:r>
      <w:r w:rsidR="0008609F">
        <w:t>,</w:t>
      </w:r>
      <w:r w:rsidR="00890FF8">
        <w:t xml:space="preserve"> pour le bouclement de leurs comptes</w:t>
      </w:r>
      <w:r w:rsidR="0008609F">
        <w:t>,</w:t>
      </w:r>
      <w:r w:rsidR="00890FF8">
        <w:t xml:space="preserve"> passer une écriture </w:t>
      </w:r>
      <w:r>
        <w:t>de</w:t>
      </w:r>
      <w:r w:rsidR="00890FF8">
        <w:t xml:space="preserve"> régularisation active ou passive. Il s’agit de régulariser la différen</w:t>
      </w:r>
      <w:r w:rsidR="0008609F">
        <w:t>c</w:t>
      </w:r>
      <w:r w:rsidR="00890FF8">
        <w:t>e entre les acomptes versés et la contribution définitive sur la base du rendement fiscal effectif.</w:t>
      </w:r>
    </w:p>
    <w:p w:rsidR="00890FF8" w:rsidRDefault="00890FF8" w:rsidP="00F000F5"/>
    <w:p w:rsidR="001F5D98" w:rsidRPr="00F26B91" w:rsidRDefault="001F5D98" w:rsidP="00182A2F">
      <w:pPr>
        <w:pStyle w:val="berschrift2"/>
      </w:pPr>
      <w:bookmarkStart w:id="15" w:name="_Toc63079673"/>
      <w:r>
        <w:t>Charge en ressources humaines</w:t>
      </w:r>
      <w:bookmarkEnd w:id="15"/>
    </w:p>
    <w:p w:rsidR="004B2EFF" w:rsidRDefault="00890FF8" w:rsidP="00F000F5">
      <w:r>
        <w:t xml:space="preserve">Le surcroît de tâches pour les paroisses se limite à un calcul indépendant des données budgétaire et </w:t>
      </w:r>
      <w:r w:rsidR="007D12F4">
        <w:t xml:space="preserve">à </w:t>
      </w:r>
      <w:r>
        <w:t xml:space="preserve">une écriture </w:t>
      </w:r>
      <w:r w:rsidR="00DB4FE5">
        <w:t>de</w:t>
      </w:r>
      <w:r>
        <w:t xml:space="preserve"> régularisation en fin d’année. </w:t>
      </w:r>
    </w:p>
    <w:p w:rsidR="001F5D98" w:rsidRDefault="001F5D98" w:rsidP="00F000F5"/>
    <w:p w:rsidR="001F5D98" w:rsidRPr="00F26B91" w:rsidRDefault="001F5D98" w:rsidP="00182A2F">
      <w:pPr>
        <w:pStyle w:val="berschrift2"/>
      </w:pPr>
      <w:bookmarkStart w:id="16" w:name="_Toc63079674"/>
      <w:r>
        <w:t>Implications financières</w:t>
      </w:r>
      <w:bookmarkEnd w:id="16"/>
    </w:p>
    <w:p w:rsidR="004B2EFF" w:rsidRDefault="00D425CE" w:rsidP="00F000F5">
      <w:r>
        <w:t>Les implications d’un changement de système peuvent avoir dans des cas particuliers des implications diverses. Sur la base des estimations fiscales actuelles, on peut néa</w:t>
      </w:r>
      <w:r w:rsidR="00DB4FE5">
        <w:t>nm</w:t>
      </w:r>
      <w:r>
        <w:t>oins affirmer que l’exercice pour les paroisse</w:t>
      </w:r>
      <w:r w:rsidR="00DB4FE5">
        <w:t>s</w:t>
      </w:r>
      <w:r>
        <w:t xml:space="preserve"> s’avérera positif compte tenu d’une année 2020 relativement bonne et d’une année 21 mauvaise suite à la pandémie mais sur lesquelles aucune contribution ne sera demandée. Ces deux «années 0» représentent donc pour les paroisses un soulagement financier certain.</w:t>
      </w:r>
    </w:p>
    <w:p w:rsidR="001F5D98" w:rsidRDefault="001F5D98" w:rsidP="00F000F5"/>
    <w:p w:rsidR="001F5D98" w:rsidRDefault="001F5D98" w:rsidP="00F000F5"/>
    <w:p w:rsidR="00226720" w:rsidRPr="00226720" w:rsidRDefault="00226720" w:rsidP="00226720">
      <w:pPr>
        <w:rPr>
          <w:b/>
        </w:rPr>
      </w:pPr>
    </w:p>
    <w:p w:rsidR="00F67D87" w:rsidRDefault="0034130F" w:rsidP="00F000F5">
      <w:r>
        <w:t>14 janvier 2021 Le Conseil synodal</w:t>
      </w:r>
    </w:p>
    <w:sectPr w:rsidR="00F67D87" w:rsidSect="00C36FBC">
      <w:footerReference w:type="default" r:id="rId8"/>
      <w:headerReference w:type="first" r:id="rId9"/>
      <w:footerReference w:type="first" r:id="rId10"/>
      <w:pgSz w:w="11906" w:h="16838" w:code="9"/>
      <w:pgMar w:top="1276" w:right="1361" w:bottom="1814" w:left="1418" w:header="51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8C4" w:rsidRDefault="005D68C4" w:rsidP="008C3F97">
      <w:pPr>
        <w:spacing w:line="240" w:lineRule="auto"/>
      </w:pPr>
      <w:r>
        <w:separator/>
      </w:r>
    </w:p>
  </w:endnote>
  <w:endnote w:type="continuationSeparator" w:id="0">
    <w:p w:rsidR="005D68C4" w:rsidRDefault="005D68C4" w:rsidP="008C3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22D" w:rsidRDefault="0032722D" w:rsidP="0032722D">
    <w:pPr>
      <w:pStyle w:val="Fuzeile"/>
      <w:jc w:val="right"/>
    </w:pPr>
    <w:r>
      <w:rPr>
        <w:noProof/>
      </w:rPr>
      <mc:AlternateContent>
        <mc:Choice Requires="wps">
          <w:drawing>
            <wp:anchor distT="0" distB="0" distL="114300" distR="114300" simplePos="0" relativeHeight="251667456" behindDoc="0" locked="0" layoutInCell="1" allowOverlap="1" wp14:anchorId="3FE47D7E" wp14:editId="3BAF2E0E">
              <wp:simplePos x="0" y="0"/>
              <wp:positionH relativeFrom="page">
                <wp:posOffset>5278120</wp:posOffset>
              </wp:positionH>
              <wp:positionV relativeFrom="page">
                <wp:posOffset>9435465</wp:posOffset>
              </wp:positionV>
              <wp:extent cx="1423670" cy="243205"/>
              <wp:effectExtent l="127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22D" w:rsidRDefault="0032722D" w:rsidP="0032722D">
                          <w:pPr>
                            <w:pStyle w:val="RefPagina"/>
                            <w:jc w:val="right"/>
                          </w:pPr>
                          <w:r>
                            <w:t xml:space="preserve">Page </w:t>
                          </w:r>
                          <w:r>
                            <w:fldChar w:fldCharType="begin"/>
                          </w:r>
                          <w:r>
                            <w:instrText xml:space="preserve"> PAGE   \* MERGEFORMAT </w:instrText>
                          </w:r>
                          <w:r>
                            <w:fldChar w:fldCharType="separate"/>
                          </w:r>
                          <w:r>
                            <w:t>1</w:t>
                          </w:r>
                          <w:r>
                            <w:fldChar w:fldCharType="end"/>
                          </w:r>
                          <w:r>
                            <w:t>/</w:t>
                          </w:r>
                          <w:fldSimple w:instr=" NUMPAGES   \* MERGEFORMAT ">
                            <w:r>
                              <w:t>1</w:t>
                            </w:r>
                          </w:fldSimple>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47D7E" id="_x0000_t202" coordsize="21600,21600" o:spt="202" path="m,l,21600r21600,l21600,xe">
              <v:stroke joinstyle="miter"/>
              <v:path gradientshapeok="t" o:connecttype="rect"/>
            </v:shapetype>
            <v:shape id="Text Box 1" o:spid="_x0000_s1026" type="#_x0000_t202" style="position:absolute;left:0;text-align:left;margin-left:415.6pt;margin-top:742.95pt;width:112.1pt;height:19.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" filled="f" stroked="f">
              <v:textbox inset="0,0,0,0">
                <w:txbxContent>
                  <w:p w:rsidR="0032722D" w:rsidRDefault="0032722D" w:rsidP="0032722D">
                    <w:pPr>
                      <w:pStyle w:val="RefPagina"/>
                      <w:jc w:val="right"/>
                    </w:pPr>
                    <w:r>
                      <w:t xml:space="preserve">Page </w:t>
                    </w:r>
                    <w:r>
                      <w:fldChar w:fldCharType="begin"/>
                    </w:r>
                    <w:r>
                      <w:instrText xml:space="preserve"> PAGE   \* MERGEFORMAT </w:instrText>
                    </w:r>
                    <w:r>
                      <w:fldChar w:fldCharType="separate"/>
                    </w:r>
                    <w:r>
                      <w:t>1</w:t>
                    </w:r>
                    <w:r>
                      <w:fldChar w:fldCharType="end"/>
                    </w:r>
                    <w:r>
                      <w:t>/</w:t>
                    </w:r>
                    <w:fldSimple w:instr=" NUMPAGES   \* MERGEFORMAT ">
                      <w:r>
                        <w:t>1</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248" w:rsidRDefault="00142248" w:rsidP="00A025A4">
    <w:pPr>
      <w:pStyle w:val="RefAbsender"/>
      <w:rPr>
        <w:rFonts w:cs="Arial"/>
      </w:rPr>
    </w:pPr>
    <w:r>
      <w:t xml:space="preserve">Eglises réformées Berne-Jura-Soleure | Services centraux | </w:t>
    </w:r>
    <w:proofErr w:type="spellStart"/>
    <w:r>
      <w:t>Altenbergstrasse</w:t>
    </w:r>
    <w:proofErr w:type="spellEnd"/>
    <w:r>
      <w:t xml:space="preserve"> 66 | case postale | 3000 Berne 22</w:t>
    </w:r>
  </w:p>
  <w:p w:rsidR="00142248" w:rsidRPr="00877E11" w:rsidRDefault="00142248" w:rsidP="004E64F8">
    <w:pPr>
      <w:pStyle w:val="RefAbsender"/>
      <w:rPr>
        <w:rFonts w:cs="Arial"/>
      </w:rPr>
    </w:pPr>
    <w:r>
      <w:t>Téléphone +41 31 340 24 24 | Direct +41 31 340 24 31 | roger.wyss@refbejuso.ch | www.refbejuso.ch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8C4" w:rsidRDefault="005D68C4" w:rsidP="008C3F97">
      <w:pPr>
        <w:spacing w:line="240" w:lineRule="auto"/>
      </w:pPr>
      <w:r>
        <w:separator/>
      </w:r>
    </w:p>
  </w:footnote>
  <w:footnote w:type="continuationSeparator" w:id="0">
    <w:p w:rsidR="005D68C4" w:rsidRDefault="005D68C4" w:rsidP="008C3F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8C4" w:rsidRDefault="005D68C4" w:rsidP="005D68C4">
    <w:pPr>
      <w:rPr>
        <w:b/>
        <w:sz w:val="24"/>
        <w:szCs w:val="24"/>
      </w:rPr>
    </w:pPr>
  </w:p>
  <w:p w:rsidR="005D68C4" w:rsidRDefault="005D68C4" w:rsidP="005D68C4">
    <w:pPr>
      <w:rPr>
        <w:b/>
        <w:sz w:val="24"/>
        <w:szCs w:val="24"/>
      </w:rPr>
    </w:pPr>
  </w:p>
  <w:p w:rsidR="005D68C4" w:rsidRDefault="005D68C4" w:rsidP="005D68C4">
    <w:pPr>
      <w:rPr>
        <w:b/>
        <w:sz w:val="24"/>
        <w:szCs w:val="24"/>
      </w:rPr>
    </w:pPr>
  </w:p>
  <w:p w:rsidR="005D68C4" w:rsidRDefault="005D68C4" w:rsidP="005D68C4">
    <w:pPr>
      <w:rPr>
        <w:b/>
        <w:sz w:val="24"/>
        <w:szCs w:val="24"/>
      </w:rPr>
    </w:pPr>
  </w:p>
  <w:p w:rsidR="005D68C4" w:rsidRPr="00CC5D34" w:rsidRDefault="00793E90" w:rsidP="005D68C4">
    <w:pPr>
      <w:rPr>
        <w:sz w:val="24"/>
        <w:szCs w:val="24"/>
      </w:rPr>
    </w:pPr>
    <w:r>
      <w:rPr>
        <w:sz w:val="24"/>
      </w:rPr>
      <w:t>Annexe 1</w:t>
    </w:r>
  </w:p>
  <w:p w:rsidR="00793E90" w:rsidRDefault="00793E90" w:rsidP="005D68C4">
    <w:pPr>
      <w:rPr>
        <w:b/>
        <w:sz w:val="24"/>
        <w:szCs w:val="24"/>
      </w:rPr>
    </w:pPr>
  </w:p>
  <w:p w:rsidR="00142248" w:rsidRDefault="00142248" w:rsidP="00E0419A">
    <w:pPr>
      <w:rPr>
        <w:b/>
        <w:sz w:val="24"/>
        <w:szCs w:val="24"/>
      </w:rPr>
    </w:pPr>
    <w:r>
      <w:rPr>
        <w:noProof/>
      </w:rPr>
      <w:drawing>
        <wp:anchor distT="0" distB="0" distL="114300" distR="114300" simplePos="0" relativeHeight="251665408" behindDoc="1" locked="0" layoutInCell="1" allowOverlap="1" wp14:anchorId="33975FA5" wp14:editId="513D1B0D">
          <wp:simplePos x="0" y="0"/>
          <wp:positionH relativeFrom="page">
            <wp:posOffset>5438775</wp:posOffset>
          </wp:positionH>
          <wp:positionV relativeFrom="page">
            <wp:posOffset>85725</wp:posOffset>
          </wp:positionV>
          <wp:extent cx="1817964" cy="1638299"/>
          <wp:effectExtent l="19050" t="0" r="0" b="0"/>
          <wp:wrapNone/>
          <wp:docPr id="12" name="Grafik 0" descr="logo_refbejuso_defr_schwarz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fbejuso_defr_schwarz_300dpi.jpg"/>
                  <pic:cNvPicPr/>
                </pic:nvPicPr>
                <pic:blipFill>
                  <a:blip r:embed="rId1"/>
                  <a:stretch>
                    <a:fillRect/>
                  </a:stretch>
                </pic:blipFill>
                <pic:spPr>
                  <a:xfrm>
                    <a:off x="0" y="0"/>
                    <a:ext cx="1817964" cy="1638299"/>
                  </a:xfrm>
                  <a:prstGeom prst="rect">
                    <a:avLst/>
                  </a:prstGeom>
                </pic:spPr>
              </pic:pic>
            </a:graphicData>
          </a:graphic>
        </wp:anchor>
      </w:drawing>
    </w:r>
  </w:p>
  <w:p w:rsidR="00E0419A" w:rsidRDefault="00E0419A" w:rsidP="00E0419A"/>
  <w:p w:rsidR="00E0419A" w:rsidRDefault="00E0419A" w:rsidP="00E041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0C0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C13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72EB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CA7A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6E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E8D6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3E1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8832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DE16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4261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617FD"/>
    <w:multiLevelType w:val="hybridMultilevel"/>
    <w:tmpl w:val="19F07E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2E252F4"/>
    <w:multiLevelType w:val="hybridMultilevel"/>
    <w:tmpl w:val="48205B50"/>
    <w:lvl w:ilvl="0" w:tplc="F536AFF2">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612189D"/>
    <w:multiLevelType w:val="multilevel"/>
    <w:tmpl w:val="5DCAA3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C01697"/>
    <w:multiLevelType w:val="hybridMultilevel"/>
    <w:tmpl w:val="68AC27E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C3833F4"/>
    <w:multiLevelType w:val="multilevel"/>
    <w:tmpl w:val="AB4E4F0E"/>
    <w:lvl w:ilvl="0">
      <w:start w:val="2"/>
      <w:numFmt w:val="decimal"/>
      <w:lvlText w:val="%1."/>
      <w:lvlJc w:val="left"/>
      <w:pPr>
        <w:ind w:left="360" w:hanging="360"/>
      </w:pPr>
      <w:rPr>
        <w:rFonts w:hint="default"/>
      </w:rPr>
    </w:lvl>
    <w:lvl w:ilvl="1">
      <w:start w:val="1"/>
      <w:numFmt w:val="decimal"/>
      <w:pStyle w:val="berschrift2"/>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282204F"/>
    <w:multiLevelType w:val="hybridMultilevel"/>
    <w:tmpl w:val="86B671E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3756FD5"/>
    <w:multiLevelType w:val="hybridMultilevel"/>
    <w:tmpl w:val="351E2AA2"/>
    <w:lvl w:ilvl="0" w:tplc="0090D3EA">
      <w:start w:val="1"/>
      <w:numFmt w:val="bullet"/>
      <w:pStyle w:val="Grundtex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A256BE4"/>
    <w:multiLevelType w:val="multilevel"/>
    <w:tmpl w:val="29D0666A"/>
    <w:lvl w:ilvl="0">
      <w:start w:val="1"/>
      <w:numFmt w:val="decimal"/>
      <w:pStyle w:val="berschrift1"/>
      <w:lvlText w:val="%1."/>
      <w:lvlJc w:val="left"/>
      <w:pPr>
        <w:ind w:left="720" w:hanging="360"/>
      </w:pPr>
      <w:rPr>
        <w:rFonts w:ascii="Arial" w:hAnsi="Arial" w:hint="default"/>
      </w:rPr>
    </w:lvl>
    <w:lvl w:ilvl="1">
      <w:start w:val="1"/>
      <w:numFmt w:val="decimal"/>
      <w:lvlText w:val="%1.%2."/>
      <w:lvlJc w:val="left"/>
      <w:pPr>
        <w:ind w:left="1304" w:hanging="584"/>
      </w:pPr>
      <w:rPr>
        <w:rFonts w:hint="default"/>
      </w:rPr>
    </w:lvl>
    <w:lvl w:ilvl="2">
      <w:start w:val="1"/>
      <w:numFmt w:val="decimal"/>
      <w:pStyle w:val="berschrift3"/>
      <w:lvlText w:val="%2.%3.%1"/>
      <w:lvlJc w:val="left"/>
      <w:pPr>
        <w:tabs>
          <w:tab w:val="num" w:pos="2552"/>
        </w:tabs>
        <w:ind w:left="1928" w:hanging="62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BEB6D41"/>
    <w:multiLevelType w:val="hybridMultilevel"/>
    <w:tmpl w:val="5E9E2B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20C62CA"/>
    <w:multiLevelType w:val="hybridMultilevel"/>
    <w:tmpl w:val="CE64738C"/>
    <w:lvl w:ilvl="0" w:tplc="455EBD1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47C5C23"/>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994050"/>
    <w:multiLevelType w:val="multilevel"/>
    <w:tmpl w:val="0F8A7AB8"/>
    <w:lvl w:ilvl="0">
      <w:start w:val="1"/>
      <w:numFmt w:val="decimal"/>
      <w:pStyle w:val="Listenabsatz"/>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7373CE"/>
    <w:multiLevelType w:val="hybridMultilevel"/>
    <w:tmpl w:val="3998054A"/>
    <w:lvl w:ilvl="0" w:tplc="D8EA4840">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C963D41"/>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92559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0A3193"/>
    <w:multiLevelType w:val="hybridMultilevel"/>
    <w:tmpl w:val="053E62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8F266B8"/>
    <w:multiLevelType w:val="multilevel"/>
    <w:tmpl w:val="A712EA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C7336D"/>
    <w:multiLevelType w:val="hybridMultilevel"/>
    <w:tmpl w:val="ED0450E2"/>
    <w:lvl w:ilvl="0" w:tplc="3C9ED57E">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C0F317C"/>
    <w:multiLevelType w:val="hybridMultilevel"/>
    <w:tmpl w:val="83CC9E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2"/>
  </w:num>
  <w:num w:numId="15">
    <w:abstractNumId w:val="23"/>
  </w:num>
  <w:num w:numId="16">
    <w:abstractNumId w:val="18"/>
  </w:num>
  <w:num w:numId="17">
    <w:abstractNumId w:val="10"/>
  </w:num>
  <w:num w:numId="18">
    <w:abstractNumId w:val="20"/>
  </w:num>
  <w:num w:numId="19">
    <w:abstractNumId w:val="26"/>
  </w:num>
  <w:num w:numId="20">
    <w:abstractNumId w:val="25"/>
  </w:num>
  <w:num w:numId="21">
    <w:abstractNumId w:val="15"/>
  </w:num>
  <w:num w:numId="22">
    <w:abstractNumId w:val="13"/>
  </w:num>
  <w:num w:numId="23">
    <w:abstractNumId w:val="21"/>
  </w:num>
  <w:num w:numId="24">
    <w:abstractNumId w:val="26"/>
  </w:num>
  <w:num w:numId="25">
    <w:abstractNumId w:val="26"/>
  </w:num>
  <w:num w:numId="26">
    <w:abstractNumId w:val="26"/>
  </w:num>
  <w:num w:numId="27">
    <w:abstractNumId w:val="26"/>
  </w:num>
  <w:num w:numId="28">
    <w:abstractNumId w:val="26"/>
  </w:num>
  <w:num w:numId="29">
    <w:abstractNumId w:val="19"/>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28"/>
  </w:num>
  <w:num w:numId="38">
    <w:abstractNumId w:val="27"/>
  </w:num>
  <w:num w:numId="39">
    <w:abstractNumId w:val="2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C4"/>
    <w:rsid w:val="00015031"/>
    <w:rsid w:val="00020D2C"/>
    <w:rsid w:val="00031F28"/>
    <w:rsid w:val="0008609F"/>
    <w:rsid w:val="000909E8"/>
    <w:rsid w:val="00090B2F"/>
    <w:rsid w:val="000A041E"/>
    <w:rsid w:val="000A13EB"/>
    <w:rsid w:val="000C70DB"/>
    <w:rsid w:val="000D0FFE"/>
    <w:rsid w:val="000E3EA5"/>
    <w:rsid w:val="000E50C8"/>
    <w:rsid w:val="000F483F"/>
    <w:rsid w:val="00111AF8"/>
    <w:rsid w:val="00120964"/>
    <w:rsid w:val="00142248"/>
    <w:rsid w:val="001517C1"/>
    <w:rsid w:val="00151DAF"/>
    <w:rsid w:val="00182A2F"/>
    <w:rsid w:val="00195938"/>
    <w:rsid w:val="00195D40"/>
    <w:rsid w:val="001C65DA"/>
    <w:rsid w:val="001F15B6"/>
    <w:rsid w:val="001F5AF8"/>
    <w:rsid w:val="001F5D98"/>
    <w:rsid w:val="002158EF"/>
    <w:rsid w:val="00216F21"/>
    <w:rsid w:val="00224433"/>
    <w:rsid w:val="00226720"/>
    <w:rsid w:val="002726AE"/>
    <w:rsid w:val="0029769C"/>
    <w:rsid w:val="002C06D2"/>
    <w:rsid w:val="002F405E"/>
    <w:rsid w:val="0032722D"/>
    <w:rsid w:val="0034130F"/>
    <w:rsid w:val="0035115F"/>
    <w:rsid w:val="00392AD0"/>
    <w:rsid w:val="003A3A36"/>
    <w:rsid w:val="003A66B4"/>
    <w:rsid w:val="0041132F"/>
    <w:rsid w:val="004174BC"/>
    <w:rsid w:val="00425F6A"/>
    <w:rsid w:val="0043287F"/>
    <w:rsid w:val="00444981"/>
    <w:rsid w:val="00452A73"/>
    <w:rsid w:val="00470D76"/>
    <w:rsid w:val="0049268A"/>
    <w:rsid w:val="004B2EFF"/>
    <w:rsid w:val="004D4570"/>
    <w:rsid w:val="004E64F8"/>
    <w:rsid w:val="00501F1B"/>
    <w:rsid w:val="00507D08"/>
    <w:rsid w:val="00514CC2"/>
    <w:rsid w:val="00524131"/>
    <w:rsid w:val="005244FC"/>
    <w:rsid w:val="0055576A"/>
    <w:rsid w:val="0057286E"/>
    <w:rsid w:val="00574C94"/>
    <w:rsid w:val="0059399E"/>
    <w:rsid w:val="005B4C04"/>
    <w:rsid w:val="005C68A9"/>
    <w:rsid w:val="005D105D"/>
    <w:rsid w:val="005D68C4"/>
    <w:rsid w:val="005E02F0"/>
    <w:rsid w:val="005E1127"/>
    <w:rsid w:val="005E304A"/>
    <w:rsid w:val="005F0BA0"/>
    <w:rsid w:val="005F5E10"/>
    <w:rsid w:val="0062447E"/>
    <w:rsid w:val="00625225"/>
    <w:rsid w:val="0063375A"/>
    <w:rsid w:val="00661504"/>
    <w:rsid w:val="006713D6"/>
    <w:rsid w:val="00683D46"/>
    <w:rsid w:val="006951D2"/>
    <w:rsid w:val="006B4F2E"/>
    <w:rsid w:val="006C1C00"/>
    <w:rsid w:val="0070551A"/>
    <w:rsid w:val="007155DC"/>
    <w:rsid w:val="007462A5"/>
    <w:rsid w:val="00754133"/>
    <w:rsid w:val="00765BF5"/>
    <w:rsid w:val="00791C16"/>
    <w:rsid w:val="00793E90"/>
    <w:rsid w:val="00797B8E"/>
    <w:rsid w:val="007A4C97"/>
    <w:rsid w:val="007C410A"/>
    <w:rsid w:val="007C7A7F"/>
    <w:rsid w:val="007D12F4"/>
    <w:rsid w:val="007D460F"/>
    <w:rsid w:val="008019BA"/>
    <w:rsid w:val="008314E7"/>
    <w:rsid w:val="00847409"/>
    <w:rsid w:val="0086171C"/>
    <w:rsid w:val="00877E11"/>
    <w:rsid w:val="00887EC9"/>
    <w:rsid w:val="00890FF8"/>
    <w:rsid w:val="008B338B"/>
    <w:rsid w:val="008C27C5"/>
    <w:rsid w:val="008C3F97"/>
    <w:rsid w:val="008D3C29"/>
    <w:rsid w:val="0090379F"/>
    <w:rsid w:val="009061B5"/>
    <w:rsid w:val="00932C4A"/>
    <w:rsid w:val="00960016"/>
    <w:rsid w:val="009A115E"/>
    <w:rsid w:val="009B0C3E"/>
    <w:rsid w:val="009B178F"/>
    <w:rsid w:val="009B2133"/>
    <w:rsid w:val="009C08D2"/>
    <w:rsid w:val="009D3731"/>
    <w:rsid w:val="009E3168"/>
    <w:rsid w:val="009F33BF"/>
    <w:rsid w:val="00A025A4"/>
    <w:rsid w:val="00A02FFE"/>
    <w:rsid w:val="00A05510"/>
    <w:rsid w:val="00A45819"/>
    <w:rsid w:val="00A52AA9"/>
    <w:rsid w:val="00A6606F"/>
    <w:rsid w:val="00A72A56"/>
    <w:rsid w:val="00AA41B9"/>
    <w:rsid w:val="00AB6BFC"/>
    <w:rsid w:val="00AC00BC"/>
    <w:rsid w:val="00AD33EE"/>
    <w:rsid w:val="00B35437"/>
    <w:rsid w:val="00B45E39"/>
    <w:rsid w:val="00B70493"/>
    <w:rsid w:val="00B767A7"/>
    <w:rsid w:val="00B77A36"/>
    <w:rsid w:val="00BA53C0"/>
    <w:rsid w:val="00BB588A"/>
    <w:rsid w:val="00BB6B26"/>
    <w:rsid w:val="00BC0C70"/>
    <w:rsid w:val="00BE0A15"/>
    <w:rsid w:val="00BF1DAB"/>
    <w:rsid w:val="00BF3B26"/>
    <w:rsid w:val="00C01806"/>
    <w:rsid w:val="00C04860"/>
    <w:rsid w:val="00C32EDD"/>
    <w:rsid w:val="00C35A22"/>
    <w:rsid w:val="00C36FBC"/>
    <w:rsid w:val="00C52F0E"/>
    <w:rsid w:val="00C8520B"/>
    <w:rsid w:val="00C9408F"/>
    <w:rsid w:val="00C956FE"/>
    <w:rsid w:val="00CB5848"/>
    <w:rsid w:val="00CC5D34"/>
    <w:rsid w:val="00CD07E5"/>
    <w:rsid w:val="00CF58C9"/>
    <w:rsid w:val="00D24D9D"/>
    <w:rsid w:val="00D31B88"/>
    <w:rsid w:val="00D425CE"/>
    <w:rsid w:val="00D7410E"/>
    <w:rsid w:val="00D83973"/>
    <w:rsid w:val="00DB0AEF"/>
    <w:rsid w:val="00DB2F33"/>
    <w:rsid w:val="00DB4FE5"/>
    <w:rsid w:val="00DC721A"/>
    <w:rsid w:val="00DD2DA6"/>
    <w:rsid w:val="00DE1926"/>
    <w:rsid w:val="00DF0013"/>
    <w:rsid w:val="00DF61A6"/>
    <w:rsid w:val="00E0419A"/>
    <w:rsid w:val="00E21C31"/>
    <w:rsid w:val="00E30EEA"/>
    <w:rsid w:val="00E537F3"/>
    <w:rsid w:val="00E548D6"/>
    <w:rsid w:val="00E62E7C"/>
    <w:rsid w:val="00E6604D"/>
    <w:rsid w:val="00E71134"/>
    <w:rsid w:val="00E878D0"/>
    <w:rsid w:val="00EA68F0"/>
    <w:rsid w:val="00ED69A7"/>
    <w:rsid w:val="00F000F5"/>
    <w:rsid w:val="00F26B91"/>
    <w:rsid w:val="00F27990"/>
    <w:rsid w:val="00F3154E"/>
    <w:rsid w:val="00F60FF8"/>
    <w:rsid w:val="00F66183"/>
    <w:rsid w:val="00F67D87"/>
    <w:rsid w:val="00FE56AC"/>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759F129-0CC9-4300-AD3A-97D8381F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fr-CH"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9A115E"/>
  </w:style>
  <w:style w:type="paragraph" w:styleId="berschrift1">
    <w:name w:val="heading 1"/>
    <w:basedOn w:val="Standard"/>
    <w:next w:val="Standard"/>
    <w:link w:val="berschrift1Zchn"/>
    <w:autoRedefine/>
    <w:uiPriority w:val="9"/>
    <w:semiHidden/>
    <w:qFormat/>
    <w:rsid w:val="00F27990"/>
    <w:pPr>
      <w:keepNext/>
      <w:keepLines/>
      <w:numPr>
        <w:numId w:val="13"/>
      </w:numPr>
      <w:spacing w:before="240" w:line="259" w:lineRule="auto"/>
      <w:outlineLvl w:val="0"/>
    </w:pPr>
    <w:rPr>
      <w:rFonts w:eastAsiaTheme="majorEastAsia" w:cstheme="majorBidi"/>
      <w:sz w:val="32"/>
      <w:szCs w:val="32"/>
    </w:rPr>
  </w:style>
  <w:style w:type="paragraph" w:styleId="berschrift2">
    <w:name w:val="heading 2"/>
    <w:basedOn w:val="Standard"/>
    <w:next w:val="Standard"/>
    <w:link w:val="berschrift2Zchn"/>
    <w:autoRedefine/>
    <w:uiPriority w:val="9"/>
    <w:qFormat/>
    <w:rsid w:val="00182A2F"/>
    <w:pPr>
      <w:keepNext/>
      <w:keepLines/>
      <w:numPr>
        <w:ilvl w:val="1"/>
        <w:numId w:val="30"/>
      </w:numPr>
      <w:tabs>
        <w:tab w:val="left" w:pos="567"/>
      </w:tabs>
      <w:spacing w:before="40" w:line="259" w:lineRule="auto"/>
      <w:ind w:left="567" w:hanging="567"/>
      <w:outlineLvl w:val="1"/>
    </w:pPr>
    <w:rPr>
      <w:rFonts w:eastAsiaTheme="majorEastAsia" w:cstheme="majorBidi"/>
    </w:rPr>
  </w:style>
  <w:style w:type="paragraph" w:styleId="berschrift3">
    <w:name w:val="heading 3"/>
    <w:basedOn w:val="Standard"/>
    <w:next w:val="Standard"/>
    <w:link w:val="berschrift3Zchn"/>
    <w:uiPriority w:val="9"/>
    <w:semiHidden/>
    <w:qFormat/>
    <w:rsid w:val="007155DC"/>
    <w:pPr>
      <w:keepNext/>
      <w:keepLines/>
      <w:numPr>
        <w:ilvl w:val="2"/>
        <w:numId w:val="13"/>
      </w:numPr>
      <w:spacing w:before="40"/>
      <w:outlineLvl w:val="2"/>
    </w:pPr>
    <w:rPr>
      <w:rFonts w:eastAsiaTheme="majorEastAsia" w:cstheme="majorBidi"/>
      <w:szCs w:val="24"/>
    </w:rPr>
  </w:style>
  <w:style w:type="paragraph" w:styleId="berschrift4">
    <w:name w:val="heading 4"/>
    <w:basedOn w:val="Standard"/>
    <w:next w:val="Standard"/>
    <w:link w:val="berschrift4Zchn"/>
    <w:qFormat/>
    <w:rsid w:val="00514CC2"/>
    <w:pPr>
      <w:keepNext/>
      <w:spacing w:before="100" w:after="100" w:line="240" w:lineRule="auto"/>
      <w:ind w:left="426" w:hanging="426"/>
      <w:outlineLvl w:val="3"/>
    </w:pPr>
    <w:rPr>
      <w:rFonts w:eastAsia="Arial Unicode MS" w:cs="Times New Roman"/>
      <w:b/>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721A"/>
    <w:rPr>
      <w:color w:val="808080"/>
    </w:rPr>
  </w:style>
  <w:style w:type="paragraph" w:customStyle="1" w:styleId="RefGrundtext">
    <w:name w:val="Ref_Grundtext"/>
    <w:basedOn w:val="Standard"/>
    <w:link w:val="RefGrundtextZchn"/>
    <w:qFormat/>
    <w:rsid w:val="00DE1926"/>
    <w:pPr>
      <w:tabs>
        <w:tab w:val="left" w:pos="227"/>
      </w:tabs>
      <w:spacing w:line="280" w:lineRule="atLeast"/>
    </w:pPr>
  </w:style>
  <w:style w:type="paragraph" w:customStyle="1" w:styleId="Betreffzeile">
    <w:name w:val="Betreffzeile"/>
    <w:basedOn w:val="RefGrundtext"/>
    <w:next w:val="RefGrundtext"/>
    <w:semiHidden/>
    <w:qFormat/>
    <w:rsid w:val="00DE1926"/>
    <w:pPr>
      <w:spacing w:after="280"/>
    </w:pPr>
    <w:rPr>
      <w:b/>
    </w:rPr>
  </w:style>
  <w:style w:type="paragraph" w:customStyle="1" w:styleId="Rcksendeadresse">
    <w:name w:val="Rücksendeadresse"/>
    <w:basedOn w:val="RefGrundtext"/>
    <w:semiHidden/>
    <w:qFormat/>
    <w:rsid w:val="00DE1926"/>
    <w:pPr>
      <w:spacing w:line="240" w:lineRule="atLeast"/>
    </w:pPr>
    <w:rPr>
      <w:sz w:val="16"/>
    </w:rPr>
  </w:style>
  <w:style w:type="paragraph" w:customStyle="1" w:styleId="RefAbsender">
    <w:name w:val="Ref_Absender"/>
    <w:basedOn w:val="RefGrundtext"/>
    <w:qFormat/>
    <w:rsid w:val="00DE1926"/>
    <w:pPr>
      <w:spacing w:line="220" w:lineRule="atLeast"/>
    </w:pPr>
    <w:rPr>
      <w:sz w:val="18"/>
    </w:rPr>
  </w:style>
  <w:style w:type="paragraph" w:customStyle="1" w:styleId="RefPagina">
    <w:name w:val="Ref_Pagina"/>
    <w:basedOn w:val="RefAbsender"/>
    <w:qFormat/>
    <w:rsid w:val="00DE1926"/>
    <w:rPr>
      <w:sz w:val="15"/>
    </w:rPr>
  </w:style>
  <w:style w:type="paragraph" w:styleId="Kopfzeile">
    <w:name w:val="header"/>
    <w:basedOn w:val="Standard"/>
    <w:link w:val="KopfzeileZchn"/>
    <w:uiPriority w:val="99"/>
    <w:semiHidden/>
    <w:rsid w:val="00F000F5"/>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9A115E"/>
  </w:style>
  <w:style w:type="paragraph" w:customStyle="1" w:styleId="GrundtextAufzhlung">
    <w:name w:val="Grundtext_Aufzählung"/>
    <w:basedOn w:val="RefGrundtext"/>
    <w:semiHidden/>
    <w:qFormat/>
    <w:rsid w:val="00DE1926"/>
    <w:pPr>
      <w:numPr>
        <w:numId w:val="1"/>
      </w:numPr>
      <w:ind w:left="227" w:hanging="227"/>
    </w:pPr>
  </w:style>
  <w:style w:type="paragraph" w:styleId="Fuzeile">
    <w:name w:val="footer"/>
    <w:basedOn w:val="Standard"/>
    <w:link w:val="FuzeileZchn"/>
    <w:uiPriority w:val="99"/>
    <w:semiHidden/>
    <w:rsid w:val="00F000F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9A115E"/>
  </w:style>
  <w:style w:type="paragraph" w:styleId="Sprechblasentext">
    <w:name w:val="Balloon Text"/>
    <w:basedOn w:val="Standard"/>
    <w:link w:val="SprechblasentextZchn"/>
    <w:uiPriority w:val="99"/>
    <w:semiHidden/>
    <w:rsid w:val="00BE0A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115E"/>
    <w:rPr>
      <w:rFonts w:ascii="Tahoma" w:hAnsi="Tahoma" w:cs="Tahoma"/>
      <w:sz w:val="16"/>
      <w:szCs w:val="16"/>
    </w:rPr>
  </w:style>
  <w:style w:type="paragraph" w:styleId="Titel">
    <w:name w:val="Title"/>
    <w:basedOn w:val="Standard"/>
    <w:next w:val="RefGrundtext"/>
    <w:link w:val="TitelZchn"/>
    <w:uiPriority w:val="10"/>
    <w:semiHidden/>
    <w:qFormat/>
    <w:rsid w:val="007C410A"/>
    <w:pPr>
      <w:spacing w:line="280" w:lineRule="atLeast"/>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semiHidden/>
    <w:rsid w:val="009A115E"/>
    <w:rPr>
      <w:rFonts w:eastAsiaTheme="majorEastAsia" w:cstheme="majorBidi"/>
      <w:b/>
      <w:spacing w:val="5"/>
      <w:kern w:val="28"/>
      <w:szCs w:val="52"/>
    </w:rPr>
  </w:style>
  <w:style w:type="character" w:customStyle="1" w:styleId="berschrift1Zchn">
    <w:name w:val="Überschrift 1 Zchn"/>
    <w:basedOn w:val="Absatz-Standardschriftart"/>
    <w:link w:val="berschrift1"/>
    <w:uiPriority w:val="9"/>
    <w:semiHidden/>
    <w:rsid w:val="009A115E"/>
    <w:rPr>
      <w:rFonts w:eastAsiaTheme="majorEastAsia" w:cstheme="majorBidi"/>
      <w:sz w:val="32"/>
      <w:szCs w:val="32"/>
    </w:rPr>
  </w:style>
  <w:style w:type="character" w:customStyle="1" w:styleId="berschrift2Zchn">
    <w:name w:val="Überschrift 2 Zchn"/>
    <w:basedOn w:val="Absatz-Standardschriftart"/>
    <w:link w:val="berschrift2"/>
    <w:uiPriority w:val="9"/>
    <w:rsid w:val="00182A2F"/>
    <w:rPr>
      <w:rFonts w:eastAsiaTheme="majorEastAsia" w:cstheme="majorBidi"/>
    </w:rPr>
  </w:style>
  <w:style w:type="character" w:customStyle="1" w:styleId="berschrift3Zchn">
    <w:name w:val="Überschrift 3 Zchn"/>
    <w:basedOn w:val="Absatz-Standardschriftart"/>
    <w:link w:val="berschrift3"/>
    <w:uiPriority w:val="9"/>
    <w:semiHidden/>
    <w:rsid w:val="009A115E"/>
    <w:rPr>
      <w:rFonts w:eastAsiaTheme="majorEastAsia" w:cstheme="majorBidi"/>
      <w:szCs w:val="24"/>
    </w:rPr>
  </w:style>
  <w:style w:type="paragraph" w:customStyle="1" w:styleId="RefKopfzeile">
    <w:name w:val="Ref_Kopfzeile"/>
    <w:basedOn w:val="Standard"/>
    <w:qFormat/>
    <w:rsid w:val="00F000F5"/>
    <w:pPr>
      <w:tabs>
        <w:tab w:val="center" w:pos="4536"/>
        <w:tab w:val="right" w:pos="9072"/>
      </w:tabs>
      <w:spacing w:line="240" w:lineRule="auto"/>
    </w:pPr>
  </w:style>
  <w:style w:type="paragraph" w:customStyle="1" w:styleId="RefFusszeile">
    <w:name w:val="Ref_Fusszeile"/>
    <w:basedOn w:val="Standard"/>
    <w:qFormat/>
    <w:rsid w:val="00F000F5"/>
    <w:pPr>
      <w:tabs>
        <w:tab w:val="center" w:pos="4536"/>
        <w:tab w:val="right" w:pos="9072"/>
      </w:tabs>
      <w:spacing w:line="240" w:lineRule="auto"/>
    </w:pPr>
  </w:style>
  <w:style w:type="paragraph" w:styleId="Listenabsatz">
    <w:name w:val="List Paragraph"/>
    <w:basedOn w:val="Standard"/>
    <w:uiPriority w:val="34"/>
    <w:qFormat/>
    <w:rsid w:val="002F405E"/>
    <w:pPr>
      <w:keepNext/>
      <w:keepLines/>
      <w:numPr>
        <w:numId w:val="23"/>
      </w:numPr>
      <w:spacing w:after="120" w:line="240" w:lineRule="auto"/>
      <w:ind w:left="601" w:hanging="601"/>
      <w:outlineLvl w:val="1"/>
    </w:pPr>
    <w:rPr>
      <w:b/>
    </w:rPr>
  </w:style>
  <w:style w:type="character" w:customStyle="1" w:styleId="berschrift4Zchn">
    <w:name w:val="Überschrift 4 Zchn"/>
    <w:basedOn w:val="Absatz-Standardschriftart"/>
    <w:link w:val="berschrift4"/>
    <w:rsid w:val="00514CC2"/>
    <w:rPr>
      <w:rFonts w:eastAsia="Arial Unicode MS" w:cs="Times New Roman"/>
      <w:b/>
      <w:lang w:eastAsia="de-DE"/>
    </w:rPr>
  </w:style>
  <w:style w:type="table" w:styleId="Tabellenraster">
    <w:name w:val="Table Grid"/>
    <w:basedOn w:val="NormaleTabelle"/>
    <w:uiPriority w:val="59"/>
    <w:rsid w:val="002C06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GrundtextZchn">
    <w:name w:val="Ref_Grundtext Zchn"/>
    <w:basedOn w:val="Absatz-Standardschriftart"/>
    <w:link w:val="RefGrundtext"/>
    <w:rsid w:val="00470D76"/>
  </w:style>
  <w:style w:type="paragraph" w:customStyle="1" w:styleId="Textfortlaufend">
    <w:name w:val="Text fortlaufend"/>
    <w:basedOn w:val="Standard"/>
    <w:rsid w:val="00A02FFE"/>
    <w:pPr>
      <w:spacing w:after="120" w:line="240" w:lineRule="auto"/>
    </w:pPr>
    <w:rPr>
      <w:rFonts w:eastAsia="Times New Roman" w:cs="Times New Roman"/>
      <w:sz w:val="18"/>
      <w:szCs w:val="24"/>
      <w:lang w:eastAsia="de-DE"/>
    </w:rPr>
  </w:style>
  <w:style w:type="paragraph" w:styleId="Inhaltsverzeichnisberschrift">
    <w:name w:val="TOC Heading"/>
    <w:basedOn w:val="berschrift4"/>
    <w:next w:val="Standard"/>
    <w:uiPriority w:val="39"/>
    <w:unhideWhenUsed/>
    <w:qFormat/>
    <w:rsid w:val="00514CC2"/>
  </w:style>
  <w:style w:type="paragraph" w:styleId="Verzeichnis2">
    <w:name w:val="toc 2"/>
    <w:basedOn w:val="Standard"/>
    <w:next w:val="Standard"/>
    <w:autoRedefine/>
    <w:uiPriority w:val="39"/>
    <w:rsid w:val="009F33BF"/>
    <w:pPr>
      <w:spacing w:after="100"/>
      <w:ind w:left="200"/>
    </w:pPr>
  </w:style>
  <w:style w:type="character" w:styleId="Hyperlink">
    <w:name w:val="Hyperlink"/>
    <w:basedOn w:val="Absatz-Standardschriftart"/>
    <w:uiPriority w:val="99"/>
    <w:unhideWhenUsed/>
    <w:rsid w:val="009F3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efdomain.local\office\Vorlagen\Allgemein%20Deutsch\Vorlage_A4_Vorlage_hoch.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EA514-A46F-4372-A446-28DE56B4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Vorlage_A4_Vorlage_hoch</Template>
  <TotalTime>0</TotalTime>
  <Pages>4</Pages>
  <Words>1483</Words>
  <Characters>9346</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Scarton + Stingelin</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Wyss Roger</dc:creator>
  <cp:keywords/>
  <dc:description/>
  <cp:lastModifiedBy>Hänni Heidi</cp:lastModifiedBy>
  <cp:revision>2</cp:revision>
  <cp:lastPrinted>2021-02-01T12:47:00Z</cp:lastPrinted>
  <dcterms:created xsi:type="dcterms:W3CDTF">2021-02-10T07:54:00Z</dcterms:created>
  <dcterms:modified xsi:type="dcterms:W3CDTF">2021-02-10T07:54:00Z</dcterms:modified>
</cp:coreProperties>
</file>